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中共</w:t>
      </w:r>
      <w:r>
        <w:rPr>
          <w:rFonts w:hint="eastAsia" w:ascii="Times New Roman" w:hAnsi="Times New Roman" w:eastAsia="方正小标宋简体" w:cs="Times New Roman"/>
          <w:sz w:val="44"/>
          <w:szCs w:val="44"/>
        </w:rPr>
        <w:t>大厂回族自治</w:t>
      </w:r>
      <w:r>
        <w:rPr>
          <w:rFonts w:hint="eastAsia" w:ascii="Times New Roman" w:hAnsi="Times New Roman" w:eastAsia="方正小标宋简体" w:cs="Times New Roman"/>
          <w:sz w:val="44"/>
          <w:szCs w:val="44"/>
          <w:lang w:val="en-US" w:eastAsia="zh-CN"/>
        </w:rPr>
        <w:t>县委县直机关工作委员会</w:t>
      </w:r>
    </w:p>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lang w:val="en-US" w:eastAsia="zh-CN"/>
        </w:rPr>
        <w:t>中共</w:t>
      </w:r>
      <w:r>
        <w:rPr>
          <w:rFonts w:hint="eastAsia" w:ascii="仿宋" w:hAnsi="仿宋" w:eastAsia="仿宋" w:cs="Times New Roman"/>
          <w:sz w:val="32"/>
          <w:szCs w:val="32"/>
        </w:rPr>
        <w:t>大厂回族自治</w:t>
      </w:r>
      <w:r>
        <w:rPr>
          <w:rFonts w:hint="eastAsia" w:ascii="仿宋" w:hAnsi="仿宋" w:eastAsia="仿宋" w:cs="Times New Roman"/>
          <w:sz w:val="32"/>
          <w:szCs w:val="32"/>
          <w:lang w:val="en-US" w:eastAsia="zh-CN"/>
        </w:rPr>
        <w:t>县委县直机关工作委员会</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val="en-US" w:eastAsia="zh-CN"/>
        </w:rPr>
        <w:t>中共大厂回族自治县委县直机关工作委员会</w:t>
      </w:r>
      <w:r>
        <w:rPr>
          <w:rFonts w:hint="eastAsia" w:ascii="仿宋" w:hAnsi="仿宋" w:eastAsia="仿宋" w:cs="仿宋"/>
          <w:sz w:val="32"/>
          <w:szCs w:val="32"/>
        </w:rPr>
        <w:t>职能配置、内设机构和人员编制规定》，</w:t>
      </w:r>
      <w:r>
        <w:rPr>
          <w:rFonts w:hint="eastAsia" w:ascii="仿宋" w:hAnsi="仿宋" w:eastAsia="仿宋" w:cs="仿宋"/>
          <w:sz w:val="32"/>
          <w:szCs w:val="32"/>
          <w:lang w:val="en-US" w:eastAsia="zh-CN"/>
        </w:rPr>
        <w:t>中共大厂回族自治县委县直机关工作委员会</w:t>
      </w:r>
      <w:r>
        <w:rPr>
          <w:rFonts w:hint="eastAsia" w:ascii="仿宋" w:hAnsi="仿宋" w:eastAsia="仿宋" w:cs="仿宋"/>
          <w:sz w:val="32"/>
          <w:szCs w:val="32"/>
        </w:rPr>
        <w:t>的主要职责是：</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一、统一组织、规划、部署县直机关党的工作，提出加强和改进机关党的建设的意见和建议，研究制定工作规划，并抓好 组织实施。</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二、指导县直机关党的政治建设、思想建设、组织建设、作风建设、纪律建设，把制度建设贯彻其中，深入推透反腐败斗争。</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三、指导县直机关各级党组织和广大党员学习马克思列宁主义、毛泽东思想、邓小平理论、“三个代表”重要思想、科学发展观、习近平新时代中国特色社会主义思想。</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四、对县直机关各级党组织、党员领导干部落实党建责任制、遵守政治纪律和政治规矩情况进行监督检查，并向县委报告。</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五、指导县直机关各级党组织实施对党员特别是党员领导干部的监督和管理，定期了解各部门党员和群众对领导</w:t>
      </w:r>
      <w:r>
        <w:rPr>
          <w:rFonts w:hint="eastAsia" w:ascii="仿宋" w:hAnsi="仿宋" w:eastAsia="仿宋" w:cs="仿宋"/>
          <w:sz w:val="32"/>
          <w:szCs w:val="32"/>
          <w:lang w:val="en-US" w:eastAsia="zh-CN"/>
        </w:rPr>
        <w:t>干</w:t>
      </w:r>
      <w:bookmarkStart w:id="3" w:name="_GoBack"/>
      <w:bookmarkEnd w:id="3"/>
      <w:r>
        <w:rPr>
          <w:rFonts w:hint="eastAsia" w:ascii="仿宋" w:hAnsi="仿宋" w:eastAsia="仿宋" w:cs="仿宋"/>
          <w:sz w:val="32"/>
          <w:szCs w:val="32"/>
        </w:rPr>
        <w:t>部的意见，及时向县委反映各部门领导班子、领导干部的情况。</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六、配合县委有关部门抓好县直机关各部门领导班子思想政治建设，参与对党员领导干部民主生活会和县直机关各部门党组（党委）理论学习中心组学习的督促</w:t>
      </w:r>
      <w:r>
        <w:rPr>
          <w:rFonts w:hint="eastAsia" w:ascii="仿宋" w:hAnsi="仿宋" w:eastAsia="仿宋" w:cs="仿宋"/>
          <w:sz w:val="32"/>
          <w:szCs w:val="32"/>
          <w:lang w:val="en-US" w:eastAsia="zh-CN"/>
        </w:rPr>
        <w:t>检查</w:t>
      </w:r>
      <w:r>
        <w:rPr>
          <w:rFonts w:hint="eastAsia" w:ascii="仿宋" w:hAnsi="仿宋" w:eastAsia="仿宋" w:cs="仿宋"/>
          <w:sz w:val="32"/>
          <w:szCs w:val="32"/>
        </w:rPr>
        <w:t>和指导，了解掌握情况，按规定报送情况报告。</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七、督促指导县直机关各部门机关党委按期换届，审批关于召开党员大会或党员代表大会的请示，审批县直机关各部门机关党委领导班子的组成及书记、副书记的任免。</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八、指导各级党组织加强基层级织建设，做好党员发展、教育管理等工作.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九、领导县直机关各部门机关党的纪律检查工作。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十、了解掌握县直机关工作人员的思想状况，指导县直机关各级党组织加强思想政治工作和精神文明建设。</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十一、指导县直机关各级党级织做好党的统一战线工作和人民武装工作。领导县直机关工会、共青团、妇联等群团组织的工作，指导县直机关各级党组织做好党的群众工作。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十二、协同有关部门指导、规划、协调、监督县直机关干部教育培训工作，组织实施有关干部教育培训重点任务。</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十三、协助有关部门协调县直机关各部门做好维护稳定、离退休干部和老龄等工作。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十四、完成县委交办的其他任务。</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132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491"/>
        <w:gridCol w:w="1875"/>
        <w:gridCol w:w="1968"/>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6491" w:type="dxa"/>
            <w:vMerge w:val="restart"/>
            <w:shd w:val="clear" w:color="auto" w:fill="auto"/>
            <w:vAlign w:val="center"/>
          </w:tcPr>
          <w:p>
            <w:pPr>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单位名称</w:t>
            </w:r>
          </w:p>
        </w:tc>
        <w:tc>
          <w:tcPr>
            <w:tcW w:w="1875" w:type="dxa"/>
            <w:vMerge w:val="restart"/>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单位性质</w:t>
            </w:r>
          </w:p>
        </w:tc>
        <w:tc>
          <w:tcPr>
            <w:tcW w:w="1968" w:type="dxa"/>
            <w:vMerge w:val="restart"/>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单位规格</w:t>
            </w:r>
          </w:p>
        </w:tc>
        <w:tc>
          <w:tcPr>
            <w:tcW w:w="2902" w:type="dxa"/>
            <w:vMerge w:val="restart"/>
            <w:shd w:val="clear" w:color="auto" w:fill="auto"/>
            <w:vAlign w:val="center"/>
          </w:tcPr>
          <w:p>
            <w:pPr>
              <w:jc w:val="center"/>
              <w:rPr>
                <w:rFonts w:hint="eastAsia" w:ascii="仿宋" w:hAnsi="仿宋" w:eastAsia="仿宋" w:cs="仿宋"/>
                <w:sz w:val="32"/>
                <w:szCs w:val="32"/>
              </w:rPr>
            </w:pPr>
            <w:r>
              <w:rPr>
                <w:rFonts w:hint="eastAsia" w:ascii="仿宋" w:hAnsi="仿宋" w:eastAsia="仿宋" w:cs="仿宋"/>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4" w:hRule="atLeast"/>
          <w:tblHeader/>
          <w:jc w:val="center"/>
        </w:trPr>
        <w:tc>
          <w:tcPr>
            <w:tcW w:w="6491" w:type="dxa"/>
            <w:vMerge w:val="continue"/>
            <w:shd w:val="clear" w:color="auto" w:fill="auto"/>
            <w:vAlign w:val="center"/>
          </w:tcPr>
          <w:p>
            <w:pPr>
              <w:ind w:firstLine="640" w:firstLineChars="200"/>
              <w:jc w:val="center"/>
              <w:rPr>
                <w:rFonts w:hint="eastAsia" w:ascii="仿宋" w:hAnsi="仿宋" w:eastAsia="仿宋" w:cs="仿宋"/>
                <w:sz w:val="32"/>
                <w:szCs w:val="32"/>
              </w:rPr>
            </w:pPr>
          </w:p>
        </w:tc>
        <w:tc>
          <w:tcPr>
            <w:tcW w:w="1875" w:type="dxa"/>
            <w:vMerge w:val="continue"/>
            <w:shd w:val="clear" w:color="auto" w:fill="auto"/>
            <w:vAlign w:val="center"/>
          </w:tcPr>
          <w:p>
            <w:pPr>
              <w:ind w:firstLine="640" w:firstLineChars="200"/>
              <w:jc w:val="center"/>
              <w:rPr>
                <w:rFonts w:hint="eastAsia" w:ascii="仿宋" w:hAnsi="仿宋" w:eastAsia="仿宋" w:cs="仿宋"/>
                <w:sz w:val="32"/>
                <w:szCs w:val="32"/>
              </w:rPr>
            </w:pPr>
          </w:p>
        </w:tc>
        <w:tc>
          <w:tcPr>
            <w:tcW w:w="1968" w:type="dxa"/>
            <w:vMerge w:val="continue"/>
            <w:shd w:val="clear" w:color="auto" w:fill="auto"/>
            <w:vAlign w:val="center"/>
          </w:tcPr>
          <w:p>
            <w:pPr>
              <w:ind w:firstLine="640" w:firstLineChars="200"/>
              <w:jc w:val="center"/>
              <w:rPr>
                <w:rFonts w:hint="eastAsia" w:ascii="仿宋" w:hAnsi="仿宋" w:eastAsia="仿宋" w:cs="仿宋"/>
                <w:sz w:val="32"/>
                <w:szCs w:val="32"/>
              </w:rPr>
            </w:pPr>
          </w:p>
        </w:tc>
        <w:tc>
          <w:tcPr>
            <w:tcW w:w="2902" w:type="dxa"/>
            <w:vMerge w:val="continue"/>
            <w:shd w:val="clear" w:color="auto" w:fill="auto"/>
            <w:vAlign w:val="center"/>
          </w:tcPr>
          <w:p>
            <w:pPr>
              <w:ind w:firstLine="640" w:firstLineChars="200"/>
              <w:jc w:val="center"/>
              <w:rPr>
                <w:rFonts w:hint="eastAsia"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4" w:hRule="atLeast"/>
          <w:jc w:val="center"/>
        </w:trPr>
        <w:tc>
          <w:tcPr>
            <w:tcW w:w="6491" w:type="dxa"/>
            <w:shd w:val="clear" w:color="auto" w:fill="auto"/>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中共大厂回族自治县委县直机关工作委员会</w:t>
            </w:r>
          </w:p>
        </w:tc>
        <w:tc>
          <w:tcPr>
            <w:tcW w:w="1875" w:type="dxa"/>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w:t>
            </w:r>
          </w:p>
        </w:tc>
        <w:tc>
          <w:tcPr>
            <w:tcW w:w="1968" w:type="dxa"/>
            <w:shd w:val="clear" w:color="auto" w:fill="auto"/>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正科级</w:t>
            </w:r>
          </w:p>
        </w:tc>
        <w:tc>
          <w:tcPr>
            <w:tcW w:w="2902" w:type="dxa"/>
            <w:shd w:val="clear" w:color="auto" w:fill="auto"/>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lang w:val="en-US" w:eastAsia="zh-CN"/>
        </w:rPr>
        <w:t>中共</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委县直机关工作委员会</w:t>
      </w:r>
      <w:r>
        <w:rPr>
          <w:rFonts w:ascii="仿宋" w:hAnsi="仿宋" w:eastAsia="仿宋" w:cs="Times New Roman"/>
          <w:sz w:val="32"/>
          <w:szCs w:val="32"/>
        </w:rPr>
        <w:t>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230.66</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230.66</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（有则写，无则填0万元）。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lang w:val="en-US" w:eastAsia="zh-CN"/>
        </w:rPr>
        <w:t>中共</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委县直机关工作委员会2022</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230.66</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221.66</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199.96</w:t>
      </w:r>
      <w:r>
        <w:rPr>
          <w:rFonts w:ascii="仿宋" w:hAnsi="仿宋" w:eastAsia="仿宋" w:cs="Times New Roman"/>
          <w:sz w:val="32"/>
          <w:szCs w:val="32"/>
        </w:rPr>
        <w:t>万元</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日常公用经费21.70万元，</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9</w:t>
      </w:r>
      <w:r>
        <w:rPr>
          <w:rFonts w:ascii="仿宋" w:hAnsi="仿宋" w:eastAsia="仿宋" w:cs="Times New Roman"/>
          <w:sz w:val="32"/>
          <w:szCs w:val="32"/>
        </w:rPr>
        <w:t>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230.66</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w:t>
      </w:r>
      <w:r>
        <w:rPr>
          <w:rFonts w:hint="eastAsia" w:ascii="仿宋" w:hAnsi="仿宋" w:eastAsia="仿宋" w:cs="Times New Roman"/>
          <w:sz w:val="32"/>
          <w:szCs w:val="32"/>
          <w:lang w:val="en-US" w:eastAsia="zh-CN"/>
        </w:rPr>
        <w:t>减少12.41</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减少2.67</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人员经费和日常公用经费</w:t>
      </w:r>
      <w:r>
        <w:rPr>
          <w:rFonts w:ascii="仿宋" w:hAnsi="仿宋" w:eastAsia="仿宋" w:cs="Times New Roman"/>
          <w:sz w:val="32"/>
          <w:szCs w:val="32"/>
        </w:rPr>
        <w:t>支出；项目支出</w:t>
      </w:r>
      <w:r>
        <w:rPr>
          <w:rFonts w:hint="eastAsia" w:ascii="仿宋" w:hAnsi="仿宋" w:eastAsia="仿宋" w:cs="Times New Roman"/>
          <w:sz w:val="32"/>
          <w:szCs w:val="32"/>
          <w:lang w:val="en-US" w:eastAsia="zh-CN"/>
        </w:rPr>
        <w:t>减少9.74</w:t>
      </w:r>
      <w:r>
        <w:rPr>
          <w:rFonts w:ascii="仿宋" w:hAnsi="仿宋" w:eastAsia="仿宋" w:cs="Times New Roman"/>
          <w:sz w:val="32"/>
          <w:szCs w:val="32"/>
        </w:rPr>
        <w:t>万元，主要为</w:t>
      </w:r>
      <w:r>
        <w:rPr>
          <w:rFonts w:hint="eastAsia" w:ascii="仿宋" w:hAnsi="仿宋" w:eastAsia="仿宋" w:cs="Times New Roman"/>
          <w:sz w:val="32"/>
          <w:szCs w:val="32"/>
          <w:lang w:val="en-US" w:eastAsia="zh-CN"/>
        </w:rPr>
        <w:t>残疾人就业保障金</w:t>
      </w:r>
      <w:r>
        <w:rPr>
          <w:rFonts w:ascii="仿宋" w:hAnsi="仿宋" w:eastAsia="仿宋" w:cs="Times New Roman"/>
          <w:sz w:val="32"/>
          <w:szCs w:val="32"/>
        </w:rPr>
        <w:t>项目</w:t>
      </w:r>
      <w:r>
        <w:rPr>
          <w:rFonts w:hint="eastAsia" w:ascii="仿宋" w:hAnsi="仿宋" w:eastAsia="仿宋" w:cs="Times New Roman"/>
          <w:sz w:val="32"/>
          <w:szCs w:val="32"/>
          <w:lang w:val="en-US" w:eastAsia="zh-CN"/>
        </w:rPr>
        <w:t>经费、纪念中国共产党建党100周年项目经费支出</w:t>
      </w:r>
      <w:r>
        <w:rPr>
          <w:rFonts w:ascii="仿宋" w:hAnsi="仿宋" w:eastAsia="仿宋" w:cs="Times New Roman"/>
          <w:sz w:val="32"/>
          <w:szCs w:val="32"/>
        </w:rPr>
        <w:t>。</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w:t>
      </w:r>
      <w:r>
        <w:rPr>
          <w:rFonts w:hint="eastAsia" w:ascii="仿宋" w:hAnsi="仿宋" w:eastAsia="仿宋" w:cs="Times New Roman"/>
          <w:sz w:val="32"/>
          <w:szCs w:val="32"/>
          <w:lang w:val="en-US" w:eastAsia="zh-CN"/>
        </w:rPr>
        <w:t>我单位</w:t>
      </w:r>
      <w:r>
        <w:rPr>
          <w:rFonts w:ascii="仿宋" w:hAnsi="仿宋" w:eastAsia="仿宋" w:cs="Times New Roman"/>
          <w:sz w:val="32"/>
          <w:szCs w:val="32"/>
        </w:rPr>
        <w:t>机关运行经费共计安排</w:t>
      </w:r>
      <w:r>
        <w:rPr>
          <w:rFonts w:hint="eastAsia" w:ascii="仿宋" w:hAnsi="仿宋" w:eastAsia="仿宋" w:cs="Times New Roman"/>
          <w:sz w:val="32"/>
          <w:szCs w:val="32"/>
          <w:lang w:val="en-US" w:eastAsia="zh-CN"/>
        </w:rPr>
        <w:t>21.70</w:t>
      </w:r>
      <w:r>
        <w:rPr>
          <w:rFonts w:ascii="仿宋" w:hAnsi="仿宋" w:eastAsia="仿宋" w:cs="Times New Roman"/>
          <w:sz w:val="32"/>
          <w:szCs w:val="32"/>
        </w:rPr>
        <w:t>万元，主要用于</w:t>
      </w:r>
      <w:r>
        <w:rPr>
          <w:rFonts w:hint="eastAsia" w:ascii="仿宋" w:hAnsi="仿宋" w:eastAsia="仿宋" w:cs="Times New Roman"/>
          <w:sz w:val="32"/>
          <w:szCs w:val="32"/>
          <w:lang w:val="en-US" w:eastAsia="zh-CN"/>
        </w:rPr>
        <w:t>县直机关工委日常办公经费支出、</w:t>
      </w:r>
      <w:r>
        <w:rPr>
          <w:rFonts w:ascii="仿宋" w:hAnsi="仿宋" w:eastAsia="仿宋" w:cs="Times New Roman"/>
          <w:sz w:val="32"/>
          <w:szCs w:val="32"/>
        </w:rPr>
        <w:t>办公区的日常维修等日常运行支出。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w:t>
      </w:r>
      <w:r>
        <w:rPr>
          <w:rFonts w:hint="eastAsia" w:ascii="仿宋" w:hAnsi="仿宋" w:eastAsia="仿宋" w:cs="Times New Roman"/>
          <w:sz w:val="32"/>
          <w:szCs w:val="32"/>
          <w:lang w:val="en-US" w:eastAsia="zh-CN"/>
        </w:rPr>
        <w:t>我单位</w:t>
      </w:r>
      <w:r>
        <w:rPr>
          <w:rFonts w:ascii="仿宋" w:hAnsi="仿宋" w:eastAsia="仿宋" w:cs="Times New Roman"/>
          <w:sz w:val="32"/>
          <w:szCs w:val="32"/>
        </w:rPr>
        <w:t>财政拨款“三公”经费预算安排</w:t>
      </w:r>
      <w:r>
        <w:rPr>
          <w:rFonts w:hint="eastAsia" w:ascii="仿宋" w:hAnsi="仿宋" w:eastAsia="仿宋" w:cs="Times New Roman"/>
          <w:sz w:val="32"/>
          <w:szCs w:val="32"/>
          <w:lang w:val="en-US" w:eastAsia="zh-CN"/>
        </w:rPr>
        <w:t>2.61</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2.50</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2.50</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0.11</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w:t>
      </w:r>
      <w:r>
        <w:rPr>
          <w:rFonts w:hint="eastAsia" w:ascii="仿宋" w:hAnsi="仿宋" w:eastAsia="仿宋" w:cs="Times New Roman"/>
          <w:sz w:val="32"/>
          <w:szCs w:val="32"/>
          <w:lang w:val="en-US" w:eastAsia="zh-CN"/>
        </w:rPr>
        <w:t>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2022年，机关工委落实省市县委重大决策部署，坚持“完善提升、落实创新”基本要求，按照办公室“服务县委、协调部门、人民满意”的总体要求，组织不少于100个党支部开展党建活动，开展不少于4次的党员志愿服务活动，发扬“特别能吃苦、特别能战斗、特别能攻关、特别能奉献”的工作作风，提升县直机关党建工作水平，促进县直机关及窗口单位作风转变，有序开展工委机关内部日常工作，建好机关党建工作信息平台，加强全县机关党建工作调研交流为新时代加快建设经济强县、美丽大厂贡献力量。</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pStyle w:val="13"/>
        <w:rPr>
          <w:rFonts w:hint="eastAsia" w:ascii="楷体" w:hAnsi="楷体" w:eastAsia="楷体" w:cs="Times New Roman"/>
          <w:b/>
          <w:kern w:val="2"/>
          <w:sz w:val="32"/>
          <w:szCs w:val="32"/>
          <w:lang w:val="en-US" w:eastAsia="zh-CN" w:bidi="ar-SA"/>
        </w:rPr>
      </w:pPr>
      <w:r>
        <w:rPr>
          <w:rFonts w:hint="eastAsia" w:ascii="楷体" w:hAnsi="楷体" w:eastAsia="楷体" w:cs="Times New Roman"/>
          <w:b/>
          <w:kern w:val="2"/>
          <w:sz w:val="32"/>
          <w:szCs w:val="32"/>
          <w:lang w:val="en-US" w:eastAsia="zh-CN" w:bidi="ar-SA"/>
        </w:rPr>
        <w:t>一是加强基层党组织建设</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绩效目标：通过党建工作会议、开展党员培训、对县直机关进行作风督导、改善县直机关工作作风，发挥党建工作的政治优势，推动事业发展。</w:t>
      </w:r>
    </w:p>
    <w:p>
      <w:pPr>
        <w:pStyle w:val="12"/>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绩效指标：参与活动的党支部数量不少于100个，提升基层党组织党建工作水平。</w:t>
      </w:r>
    </w:p>
    <w:p>
      <w:pPr>
        <w:pStyle w:val="13"/>
        <w:rPr>
          <w:rFonts w:hint="eastAsia" w:ascii="楷体" w:hAnsi="楷体" w:eastAsia="楷体" w:cs="Times New Roman"/>
          <w:b/>
          <w:kern w:val="2"/>
          <w:sz w:val="32"/>
          <w:szCs w:val="32"/>
          <w:lang w:val="en-US" w:eastAsia="zh-CN" w:bidi="ar-SA"/>
        </w:rPr>
      </w:pPr>
      <w:r>
        <w:rPr>
          <w:rFonts w:hint="eastAsia" w:ascii="楷体" w:hAnsi="楷体" w:eastAsia="楷体" w:cs="Times New Roman"/>
          <w:b/>
          <w:kern w:val="2"/>
          <w:sz w:val="32"/>
          <w:szCs w:val="32"/>
          <w:lang w:val="en-US" w:eastAsia="zh-CN" w:bidi="ar-SA"/>
        </w:rPr>
        <w:t>二是促进党员干部素质提升</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绩效目标：提升县直机关党员干部职工践行社会主义核心价值观的能力，提升服务质量，为提升大厂软实力夯实基础。</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绩效指标：开展党员志愿服务活动不少于4次，提高党员的宗旨意识，增进党群、干群关系，为党的建设打下坚实基础。</w:t>
      </w:r>
    </w:p>
    <w:p>
      <w:pPr>
        <w:pStyle w:val="13"/>
        <w:rPr>
          <w:rFonts w:hint="eastAsia" w:ascii="楷体" w:hAnsi="楷体" w:eastAsia="楷体" w:cs="Times New Roman"/>
          <w:b/>
          <w:kern w:val="2"/>
          <w:sz w:val="32"/>
          <w:szCs w:val="32"/>
          <w:lang w:val="en-US" w:eastAsia="zh-CN" w:bidi="ar-SA"/>
        </w:rPr>
      </w:pPr>
      <w:r>
        <w:rPr>
          <w:rFonts w:hint="eastAsia" w:ascii="楷体" w:hAnsi="楷体" w:eastAsia="楷体" w:cs="Times New Roman"/>
          <w:b/>
          <w:kern w:val="2"/>
          <w:sz w:val="32"/>
          <w:szCs w:val="32"/>
          <w:lang w:val="en-US" w:eastAsia="zh-CN" w:bidi="ar-SA"/>
        </w:rPr>
        <w:t>三是创新工作方式</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绩效目标：开拓创新工作思路，确保县直机关党建工作提升、作风转变、效能提高。</w:t>
      </w:r>
    </w:p>
    <w:p>
      <w:pPr>
        <w:pStyle w:val="13"/>
        <w:rPr>
          <w:rFonts w:ascii="仿宋" w:hAnsi="仿宋" w:eastAsia="仿宋" w:cs="Times New Roman"/>
          <w:kern w:val="2"/>
          <w:sz w:val="32"/>
          <w:szCs w:val="32"/>
          <w:lang w:val="en-US" w:eastAsia="zh-CN" w:bidi="ar-SA"/>
        </w:rPr>
      </w:pPr>
      <w:r>
        <w:rPr>
          <w:rFonts w:ascii="仿宋" w:hAnsi="仿宋" w:eastAsia="仿宋" w:cs="Times New Roman"/>
          <w:kern w:val="2"/>
          <w:sz w:val="32"/>
          <w:szCs w:val="32"/>
          <w:lang w:val="en-US" w:eastAsia="zh-CN" w:bidi="ar-SA"/>
        </w:rPr>
        <w:t>绩效指标：全县窗口单位和重点行业群众满意度测评90%以上，激励县级机关党员干部转作风。</w:t>
      </w:r>
    </w:p>
    <w:p>
      <w:pPr>
        <w:spacing w:line="584" w:lineRule="exact"/>
        <w:ind w:firstLine="643" w:firstLineChars="200"/>
        <w:rPr>
          <w:rFonts w:hint="eastAsia" w:ascii="楷体" w:hAnsi="楷体" w:eastAsia="楷体" w:cs="Times New Roman"/>
          <w:b/>
          <w:sz w:val="32"/>
          <w:szCs w:val="32"/>
        </w:rPr>
      </w:pPr>
      <w:r>
        <w:rPr>
          <w:rFonts w:hint="eastAsia" w:ascii="楷体" w:hAnsi="楷体" w:eastAsia="楷体" w:cs="Times New Roman"/>
          <w:b/>
          <w:sz w:val="32"/>
          <w:szCs w:val="32"/>
        </w:rPr>
        <w:t>（三）工作保障措施</w:t>
      </w:r>
    </w:p>
    <w:p>
      <w:pPr>
        <w:pStyle w:val="14"/>
        <w:rPr>
          <w:rFonts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一是</w:t>
      </w:r>
      <w:r>
        <w:rPr>
          <w:rFonts w:ascii="仿宋" w:hAnsi="仿宋" w:eastAsia="仿宋" w:cs="Times New Roman"/>
          <w:kern w:val="2"/>
          <w:sz w:val="32"/>
          <w:szCs w:val="32"/>
          <w:lang w:val="en-US" w:eastAsia="zh-CN" w:bidi="ar-SA"/>
        </w:rPr>
        <w:t>以“五个坚持”为标尺，打牢思想基础。深入践行习</w:t>
      </w:r>
      <w:r>
        <w:rPr>
          <w:rFonts w:hint="eastAsia" w:ascii="仿宋" w:hAnsi="仿宋" w:eastAsia="仿宋" w:cs="Times New Roman"/>
          <w:kern w:val="2"/>
          <w:sz w:val="32"/>
          <w:szCs w:val="32"/>
          <w:lang w:val="en-US" w:eastAsia="zh-CN" w:bidi="ar-SA"/>
        </w:rPr>
        <w:t>近平</w:t>
      </w:r>
      <w:r>
        <w:rPr>
          <w:rFonts w:ascii="仿宋" w:hAnsi="仿宋" w:eastAsia="仿宋" w:cs="Times New Roman"/>
          <w:kern w:val="2"/>
          <w:sz w:val="32"/>
          <w:szCs w:val="32"/>
          <w:lang w:val="en-US" w:eastAsia="zh-CN" w:bidi="ar-SA"/>
        </w:rPr>
        <w:t>总书记“五个坚持”的重要讲话，坚持绝对忠诚的政治品格，坚持高度自觉的大局意识，坚持极端负责的工作作风，坚持无怨无悔的奉献精神，坚持廉洁自律的道德操守。坚持按“三严三实”要求改作风、树形象，认真学习各级领导“三严三实”专题党课内容，从理想信念、道德品行、履职行权等方面查摆问题，并抓好整改落实，深化学习教育，提升政治素质和业务能力。</w:t>
      </w:r>
    </w:p>
    <w:p>
      <w:pPr>
        <w:pStyle w:val="14"/>
        <w:rPr>
          <w:rFonts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二是</w:t>
      </w:r>
      <w:r>
        <w:rPr>
          <w:rFonts w:ascii="仿宋" w:hAnsi="仿宋" w:eastAsia="仿宋" w:cs="Times New Roman"/>
          <w:kern w:val="2"/>
          <w:sz w:val="32"/>
          <w:szCs w:val="32"/>
          <w:lang w:val="en-US" w:eastAsia="zh-CN" w:bidi="ar-SA"/>
        </w:rPr>
        <w:t>以服务为核心，认真履职尽责。紧紧围绕中心工作，强化宗旨意识，积极发挥在常规事务性工作中争取主动的能力，善于在被动中寻求主动，在主动中增强实效，充分发挥耳目喉舌和参谋助手作用。以讲政治、守规矩，讲标准、创一流，讲担当、强素质，讲奉献、重操守的“四讲”要求和细致、精致、极致的“三致”标准，认真履职尽责。</w:t>
      </w:r>
    </w:p>
    <w:p>
      <w:pPr>
        <w:pStyle w:val="14"/>
        <w:rPr>
          <w:rFonts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三是</w:t>
      </w:r>
      <w:r>
        <w:rPr>
          <w:rFonts w:ascii="仿宋" w:hAnsi="仿宋" w:eastAsia="仿宋" w:cs="Times New Roman"/>
          <w:kern w:val="2"/>
          <w:sz w:val="32"/>
          <w:szCs w:val="32"/>
          <w:lang w:val="en-US" w:eastAsia="zh-CN" w:bidi="ar-SA"/>
        </w:rPr>
        <w:t>以深入学习</w:t>
      </w:r>
      <w:r>
        <w:rPr>
          <w:rFonts w:hint="eastAsia" w:ascii="仿宋" w:hAnsi="仿宋" w:eastAsia="仿宋" w:cs="Times New Roman"/>
          <w:kern w:val="2"/>
          <w:sz w:val="32"/>
          <w:szCs w:val="32"/>
          <w:lang w:val="en-US" w:eastAsia="zh-CN" w:bidi="ar-SA"/>
        </w:rPr>
        <w:t>党的</w:t>
      </w:r>
      <w:r>
        <w:rPr>
          <w:rFonts w:ascii="仿宋" w:hAnsi="仿宋" w:eastAsia="仿宋" w:cs="Times New Roman"/>
          <w:kern w:val="2"/>
          <w:sz w:val="32"/>
          <w:szCs w:val="32"/>
          <w:lang w:val="en-US" w:eastAsia="zh-CN" w:bidi="ar-SA"/>
        </w:rPr>
        <w:t>十九大精神为契机，提升队伍素质。认真学习中央省市县委决策部署，深刻领会上级的新理念、新观点、新思路。充分调动全体干部职工的工作积极性、主动性和创造性，营造比学赶超浓厚氛围，进一步解放思想、创新观念、提升素质、干好工作，为建设经济强县、美丽大厂贡献力量。</w:t>
      </w:r>
    </w:p>
    <w:p>
      <w:pPr>
        <w:numPr>
          <w:ilvl w:val="0"/>
          <w:numId w:val="1"/>
        </w:numPr>
        <w:spacing w:line="584" w:lineRule="exact"/>
        <w:ind w:firstLine="643" w:firstLineChars="200"/>
        <w:rPr>
          <w:rFonts w:hint="eastAsia" w:ascii="楷体" w:hAnsi="楷体" w:eastAsia="楷体" w:cs="Times New Roman"/>
          <w:b/>
          <w:sz w:val="32"/>
          <w:szCs w:val="32"/>
        </w:rPr>
      </w:pPr>
      <w:r>
        <w:rPr>
          <w:rFonts w:hint="eastAsia" w:ascii="楷体" w:hAnsi="楷体" w:eastAsia="楷体" w:cs="Times New Roman"/>
          <w:b/>
          <w:sz w:val="32"/>
          <w:szCs w:val="32"/>
        </w:rPr>
        <w:t>部门整体支出绩效指标</w:t>
      </w:r>
    </w:p>
    <w:tbl>
      <w:tblPr>
        <w:tblStyle w:val="8"/>
        <w:tblW w:w="49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45"/>
        <w:gridCol w:w="1650"/>
        <w:gridCol w:w="2430"/>
        <w:gridCol w:w="1575"/>
        <w:gridCol w:w="855"/>
        <w:gridCol w:w="945"/>
        <w:gridCol w:w="855"/>
        <w:gridCol w:w="2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10" w:type="pct"/>
            <w:vMerge w:val="restart"/>
            <w:shd w:val="clear" w:color="auto" w:fill="auto"/>
            <w:vAlign w:val="center"/>
          </w:tcPr>
          <w:p>
            <w:pPr>
              <w:widowControl/>
              <w:spacing w:line="276" w:lineRule="auto"/>
              <w:jc w:val="center"/>
              <w:textAlignment w:val="center"/>
              <w:rPr>
                <w:rFonts w:ascii="宋体" w:hAnsi="宋体" w:cs="仿宋_GB2312"/>
                <w:b/>
                <w:bCs/>
                <w:color w:val="000000"/>
                <w:szCs w:val="21"/>
              </w:rPr>
            </w:pPr>
            <w:r>
              <w:rPr>
                <w:rFonts w:hint="eastAsia" w:ascii="宋体" w:hAnsi="宋体" w:cs="仿宋_GB2312"/>
                <w:b/>
                <w:bCs/>
                <w:color w:val="000000"/>
                <w:kern w:val="0"/>
                <w:szCs w:val="21"/>
              </w:rPr>
              <w:t>一级指标</w:t>
            </w:r>
          </w:p>
        </w:tc>
        <w:tc>
          <w:tcPr>
            <w:tcW w:w="545" w:type="pct"/>
            <w:vMerge w:val="restart"/>
            <w:shd w:val="clear" w:color="auto" w:fill="auto"/>
            <w:vAlign w:val="center"/>
          </w:tcPr>
          <w:p>
            <w:pPr>
              <w:widowControl/>
              <w:spacing w:line="276" w:lineRule="auto"/>
              <w:jc w:val="center"/>
              <w:textAlignment w:val="center"/>
              <w:rPr>
                <w:rFonts w:ascii="宋体" w:hAnsi="宋体" w:cs="仿宋_GB2312"/>
                <w:b/>
                <w:bCs/>
                <w:color w:val="000000"/>
                <w:szCs w:val="21"/>
              </w:rPr>
            </w:pPr>
            <w:r>
              <w:rPr>
                <w:rFonts w:hint="eastAsia" w:ascii="宋体" w:hAnsi="宋体" w:cs="仿宋_GB2312"/>
                <w:b/>
                <w:bCs/>
                <w:color w:val="000000"/>
                <w:kern w:val="0"/>
                <w:szCs w:val="21"/>
              </w:rPr>
              <w:t>二级指标</w:t>
            </w:r>
          </w:p>
        </w:tc>
        <w:tc>
          <w:tcPr>
            <w:tcW w:w="582" w:type="pct"/>
            <w:vMerge w:val="restart"/>
            <w:shd w:val="clear" w:color="auto" w:fill="auto"/>
            <w:vAlign w:val="center"/>
          </w:tcPr>
          <w:p>
            <w:pPr>
              <w:widowControl/>
              <w:spacing w:line="276" w:lineRule="auto"/>
              <w:jc w:val="center"/>
              <w:textAlignment w:val="center"/>
              <w:rPr>
                <w:rFonts w:ascii="宋体" w:hAnsi="宋体" w:cs="仿宋_GB2312"/>
                <w:b/>
                <w:bCs/>
                <w:color w:val="000000"/>
                <w:szCs w:val="21"/>
              </w:rPr>
            </w:pPr>
            <w:r>
              <w:rPr>
                <w:rFonts w:hint="eastAsia" w:ascii="宋体" w:hAnsi="宋体" w:cs="仿宋_GB2312"/>
                <w:b/>
                <w:bCs/>
                <w:color w:val="000000"/>
                <w:kern w:val="0"/>
                <w:szCs w:val="21"/>
              </w:rPr>
              <w:t>三级指标</w:t>
            </w:r>
          </w:p>
        </w:tc>
        <w:tc>
          <w:tcPr>
            <w:tcW w:w="858" w:type="pct"/>
            <w:vMerge w:val="restart"/>
            <w:shd w:val="clear" w:color="auto" w:fill="auto"/>
            <w:vAlign w:val="center"/>
          </w:tcPr>
          <w:p>
            <w:pPr>
              <w:widowControl/>
              <w:spacing w:line="276" w:lineRule="auto"/>
              <w:jc w:val="center"/>
              <w:textAlignment w:val="center"/>
              <w:rPr>
                <w:rFonts w:ascii="宋体" w:hAnsi="宋体" w:cs="仿宋_GB2312"/>
                <w:b/>
                <w:bCs/>
                <w:color w:val="000000"/>
                <w:szCs w:val="21"/>
              </w:rPr>
            </w:pPr>
            <w:r>
              <w:rPr>
                <w:rFonts w:hint="eastAsia" w:ascii="宋体" w:hAnsi="宋体" w:cs="仿宋_GB2312"/>
                <w:b/>
                <w:bCs/>
                <w:color w:val="000000"/>
                <w:kern w:val="0"/>
                <w:szCs w:val="21"/>
              </w:rPr>
              <w:t>评（扣）分标准</w:t>
            </w:r>
          </w:p>
        </w:tc>
        <w:tc>
          <w:tcPr>
            <w:tcW w:w="556" w:type="pct"/>
            <w:vMerge w:val="restart"/>
            <w:shd w:val="clear" w:color="auto" w:fill="auto"/>
            <w:vAlign w:val="center"/>
          </w:tcPr>
          <w:p>
            <w:pPr>
              <w:widowControl/>
              <w:spacing w:line="276" w:lineRule="auto"/>
              <w:jc w:val="center"/>
              <w:textAlignment w:val="center"/>
              <w:rPr>
                <w:rFonts w:ascii="宋体" w:hAnsi="宋体" w:cs="仿宋_GB2312"/>
                <w:b/>
                <w:bCs/>
                <w:color w:val="000000"/>
                <w:szCs w:val="21"/>
              </w:rPr>
            </w:pPr>
            <w:r>
              <w:rPr>
                <w:rFonts w:hint="eastAsia" w:ascii="宋体" w:hAnsi="宋体" w:cs="仿宋_GB2312"/>
                <w:b/>
                <w:bCs/>
                <w:color w:val="000000"/>
                <w:kern w:val="0"/>
                <w:szCs w:val="21"/>
              </w:rPr>
              <w:t>绩效指标描述</w:t>
            </w:r>
          </w:p>
        </w:tc>
        <w:tc>
          <w:tcPr>
            <w:tcW w:w="937" w:type="pct"/>
            <w:gridSpan w:val="3"/>
            <w:shd w:val="clear" w:color="auto" w:fill="auto"/>
            <w:vAlign w:val="center"/>
          </w:tcPr>
          <w:p>
            <w:pPr>
              <w:widowControl/>
              <w:spacing w:line="276" w:lineRule="auto"/>
              <w:jc w:val="center"/>
              <w:textAlignment w:val="center"/>
              <w:rPr>
                <w:rFonts w:ascii="宋体" w:hAnsi="宋体" w:cs="仿宋_GB2312"/>
                <w:b/>
                <w:bCs/>
                <w:color w:val="000000"/>
                <w:szCs w:val="21"/>
              </w:rPr>
            </w:pPr>
            <w:r>
              <w:rPr>
                <w:rFonts w:hint="eastAsia" w:ascii="宋体" w:hAnsi="宋体" w:cs="仿宋_GB2312"/>
                <w:b/>
                <w:bCs/>
                <w:color w:val="000000"/>
                <w:kern w:val="0"/>
                <w:szCs w:val="21"/>
              </w:rPr>
              <w:t>指标值</w:t>
            </w:r>
          </w:p>
        </w:tc>
        <w:tc>
          <w:tcPr>
            <w:tcW w:w="1008" w:type="pct"/>
            <w:vMerge w:val="restart"/>
            <w:shd w:val="clear" w:color="auto" w:fill="auto"/>
            <w:vAlign w:val="center"/>
          </w:tcPr>
          <w:p>
            <w:pPr>
              <w:widowControl/>
              <w:spacing w:line="276" w:lineRule="auto"/>
              <w:jc w:val="center"/>
              <w:textAlignment w:val="center"/>
              <w:rPr>
                <w:rFonts w:ascii="宋体" w:hAnsi="宋体" w:cs="仿宋_GB2312"/>
                <w:b/>
                <w:bCs/>
                <w:color w:val="000000"/>
                <w:szCs w:val="21"/>
              </w:rPr>
            </w:pPr>
            <w:r>
              <w:rPr>
                <w:rFonts w:hint="eastAsia" w:ascii="宋体" w:hAnsi="宋体" w:cs="仿宋_GB2312"/>
                <w:b/>
                <w:bCs/>
                <w:color w:val="000000"/>
                <w:kern w:val="0"/>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10" w:type="pct"/>
            <w:vMerge w:val="continue"/>
            <w:shd w:val="clear" w:color="auto" w:fill="auto"/>
            <w:vAlign w:val="center"/>
          </w:tcPr>
          <w:p>
            <w:pPr>
              <w:spacing w:line="276" w:lineRule="auto"/>
              <w:jc w:val="center"/>
              <w:rPr>
                <w:rFonts w:ascii="宋体" w:hAnsi="宋体" w:cs="仿宋_GB2312"/>
                <w:b/>
                <w:bCs/>
                <w:color w:val="000000"/>
                <w:szCs w:val="21"/>
              </w:rPr>
            </w:pPr>
          </w:p>
        </w:tc>
        <w:tc>
          <w:tcPr>
            <w:tcW w:w="545" w:type="pct"/>
            <w:vMerge w:val="continue"/>
            <w:shd w:val="clear" w:color="auto" w:fill="auto"/>
            <w:vAlign w:val="center"/>
          </w:tcPr>
          <w:p>
            <w:pPr>
              <w:spacing w:line="276" w:lineRule="auto"/>
              <w:jc w:val="center"/>
              <w:rPr>
                <w:rFonts w:ascii="宋体" w:hAnsi="宋体" w:cs="仿宋_GB2312"/>
                <w:b/>
                <w:bCs/>
                <w:color w:val="000000"/>
                <w:szCs w:val="21"/>
              </w:rPr>
            </w:pPr>
          </w:p>
        </w:tc>
        <w:tc>
          <w:tcPr>
            <w:tcW w:w="582" w:type="pct"/>
            <w:vMerge w:val="continue"/>
            <w:shd w:val="clear" w:color="auto" w:fill="auto"/>
            <w:vAlign w:val="center"/>
          </w:tcPr>
          <w:p>
            <w:pPr>
              <w:spacing w:line="276" w:lineRule="auto"/>
              <w:jc w:val="center"/>
              <w:rPr>
                <w:rFonts w:ascii="宋体" w:hAnsi="宋体" w:cs="仿宋_GB2312"/>
                <w:b/>
                <w:bCs/>
                <w:color w:val="000000"/>
                <w:szCs w:val="21"/>
              </w:rPr>
            </w:pPr>
          </w:p>
        </w:tc>
        <w:tc>
          <w:tcPr>
            <w:tcW w:w="858" w:type="pct"/>
            <w:vMerge w:val="continue"/>
            <w:shd w:val="clear" w:color="auto" w:fill="auto"/>
            <w:vAlign w:val="center"/>
          </w:tcPr>
          <w:p>
            <w:pPr>
              <w:spacing w:line="276" w:lineRule="auto"/>
              <w:jc w:val="center"/>
              <w:rPr>
                <w:rFonts w:ascii="宋体" w:hAnsi="宋体" w:cs="仿宋_GB2312"/>
                <w:b/>
                <w:bCs/>
                <w:color w:val="000000"/>
                <w:szCs w:val="21"/>
              </w:rPr>
            </w:pPr>
          </w:p>
        </w:tc>
        <w:tc>
          <w:tcPr>
            <w:tcW w:w="556" w:type="pct"/>
            <w:vMerge w:val="continue"/>
            <w:shd w:val="clear" w:color="auto" w:fill="auto"/>
            <w:vAlign w:val="center"/>
          </w:tcPr>
          <w:p>
            <w:pPr>
              <w:spacing w:line="276" w:lineRule="auto"/>
              <w:jc w:val="center"/>
              <w:rPr>
                <w:rFonts w:ascii="宋体" w:hAnsi="宋体" w:cs="仿宋_GB2312"/>
                <w:b/>
                <w:bCs/>
                <w:color w:val="000000"/>
                <w:szCs w:val="21"/>
              </w:rPr>
            </w:pPr>
          </w:p>
        </w:tc>
        <w:tc>
          <w:tcPr>
            <w:tcW w:w="301" w:type="pct"/>
            <w:shd w:val="clear" w:color="auto" w:fill="auto"/>
            <w:vAlign w:val="center"/>
          </w:tcPr>
          <w:p>
            <w:pPr>
              <w:widowControl/>
              <w:spacing w:line="276" w:lineRule="auto"/>
              <w:jc w:val="center"/>
              <w:textAlignment w:val="center"/>
              <w:rPr>
                <w:rFonts w:ascii="宋体" w:hAnsi="宋体" w:cs="仿宋_GB2312"/>
                <w:b/>
                <w:bCs/>
                <w:color w:val="000000"/>
                <w:szCs w:val="21"/>
              </w:rPr>
            </w:pPr>
            <w:r>
              <w:rPr>
                <w:rFonts w:hint="eastAsia" w:ascii="宋体" w:hAnsi="宋体" w:cs="仿宋_GB2312"/>
                <w:b/>
                <w:bCs/>
                <w:color w:val="000000"/>
                <w:kern w:val="0"/>
                <w:szCs w:val="21"/>
              </w:rPr>
              <w:t>符号</w:t>
            </w:r>
          </w:p>
        </w:tc>
        <w:tc>
          <w:tcPr>
            <w:tcW w:w="333" w:type="pct"/>
            <w:shd w:val="clear" w:color="auto" w:fill="auto"/>
            <w:vAlign w:val="center"/>
          </w:tcPr>
          <w:p>
            <w:pPr>
              <w:widowControl/>
              <w:spacing w:line="276" w:lineRule="auto"/>
              <w:jc w:val="center"/>
              <w:textAlignment w:val="center"/>
              <w:rPr>
                <w:rFonts w:ascii="宋体" w:hAnsi="宋体" w:cs="仿宋_GB2312"/>
                <w:b/>
                <w:bCs/>
                <w:color w:val="000000"/>
                <w:szCs w:val="21"/>
              </w:rPr>
            </w:pPr>
            <w:r>
              <w:rPr>
                <w:rFonts w:hint="eastAsia" w:ascii="宋体" w:hAnsi="宋体" w:cs="仿宋_GB2312"/>
                <w:b/>
                <w:bCs/>
                <w:color w:val="000000"/>
                <w:kern w:val="0"/>
                <w:szCs w:val="21"/>
              </w:rPr>
              <w:t>值</w:t>
            </w:r>
          </w:p>
        </w:tc>
        <w:tc>
          <w:tcPr>
            <w:tcW w:w="301" w:type="pct"/>
            <w:shd w:val="clear" w:color="auto" w:fill="auto"/>
            <w:vAlign w:val="center"/>
          </w:tcPr>
          <w:p>
            <w:pPr>
              <w:widowControl/>
              <w:spacing w:line="276" w:lineRule="auto"/>
              <w:jc w:val="center"/>
              <w:textAlignment w:val="center"/>
              <w:rPr>
                <w:rFonts w:ascii="宋体" w:hAnsi="宋体" w:cs="仿宋_GB2312"/>
                <w:b/>
                <w:bCs/>
                <w:color w:val="000000"/>
                <w:szCs w:val="21"/>
              </w:rPr>
            </w:pPr>
            <w:r>
              <w:rPr>
                <w:rFonts w:hint="eastAsia" w:ascii="宋体" w:hAnsi="宋体" w:cs="仿宋_GB2312"/>
                <w:b/>
                <w:bCs/>
                <w:color w:val="000000"/>
                <w:kern w:val="0"/>
                <w:szCs w:val="21"/>
              </w:rPr>
              <w:t>符号</w:t>
            </w:r>
          </w:p>
        </w:tc>
        <w:tc>
          <w:tcPr>
            <w:tcW w:w="1008" w:type="pct"/>
            <w:vMerge w:val="continue"/>
            <w:shd w:val="clear" w:color="auto" w:fill="auto"/>
            <w:vAlign w:val="center"/>
          </w:tcPr>
          <w:p>
            <w:pPr>
              <w:spacing w:line="276" w:lineRule="auto"/>
              <w:jc w:val="center"/>
              <w:rPr>
                <w:rFonts w:ascii="宋体" w:hAnsi="宋体" w:cs="仿宋_GB2312"/>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10" w:type="pct"/>
            <w:vMerge w:val="restar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部门产出</w:t>
            </w:r>
          </w:p>
        </w:tc>
        <w:tc>
          <w:tcPr>
            <w:tcW w:w="545"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数量指标</w:t>
            </w:r>
          </w:p>
        </w:tc>
        <w:tc>
          <w:tcPr>
            <w:tcW w:w="582"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党支部参与数量</w:t>
            </w:r>
          </w:p>
        </w:tc>
        <w:tc>
          <w:tcPr>
            <w:tcW w:w="858"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每减少一个党支部，扣数量分值1%，参与党支部低于50%不得分。</w:t>
            </w:r>
          </w:p>
        </w:tc>
        <w:tc>
          <w:tcPr>
            <w:tcW w:w="556"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参与活动的党支部数量</w:t>
            </w:r>
          </w:p>
        </w:tc>
        <w:tc>
          <w:tcPr>
            <w:tcW w:w="301"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33"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100</w:t>
            </w:r>
          </w:p>
        </w:tc>
        <w:tc>
          <w:tcPr>
            <w:tcW w:w="301"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个</w:t>
            </w:r>
          </w:p>
        </w:tc>
        <w:tc>
          <w:tcPr>
            <w:tcW w:w="1008"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党库内党支部数量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10" w:type="pct"/>
            <w:vMerge w:val="continue"/>
            <w:shd w:val="clear" w:color="auto" w:fill="auto"/>
            <w:vAlign w:val="center"/>
          </w:tcPr>
          <w:p>
            <w:pPr>
              <w:spacing w:line="276" w:lineRule="auto"/>
              <w:jc w:val="center"/>
              <w:rPr>
                <w:rFonts w:ascii="宋体" w:hAnsi="宋体" w:cs="仿宋_GB2312"/>
                <w:color w:val="000000"/>
                <w:szCs w:val="21"/>
              </w:rPr>
            </w:pPr>
          </w:p>
        </w:tc>
        <w:tc>
          <w:tcPr>
            <w:tcW w:w="545"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数量指标</w:t>
            </w:r>
          </w:p>
        </w:tc>
        <w:tc>
          <w:tcPr>
            <w:tcW w:w="582"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活动开展次数</w:t>
            </w:r>
          </w:p>
        </w:tc>
        <w:tc>
          <w:tcPr>
            <w:tcW w:w="858"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每减少一次活动，扣数量分值25%，该指标分值低于50%不得分。</w:t>
            </w:r>
          </w:p>
        </w:tc>
        <w:tc>
          <w:tcPr>
            <w:tcW w:w="556"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一年中活动开展的次数</w:t>
            </w:r>
          </w:p>
        </w:tc>
        <w:tc>
          <w:tcPr>
            <w:tcW w:w="301"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33"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4</w:t>
            </w:r>
          </w:p>
        </w:tc>
        <w:tc>
          <w:tcPr>
            <w:tcW w:w="301"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次</w:t>
            </w:r>
          </w:p>
        </w:tc>
        <w:tc>
          <w:tcPr>
            <w:tcW w:w="1008"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10" w:type="pct"/>
            <w:vMerge w:val="continue"/>
            <w:shd w:val="clear" w:color="auto" w:fill="auto"/>
            <w:vAlign w:val="center"/>
          </w:tcPr>
          <w:p>
            <w:pPr>
              <w:spacing w:line="276" w:lineRule="auto"/>
              <w:jc w:val="center"/>
              <w:rPr>
                <w:rFonts w:ascii="宋体" w:hAnsi="宋体" w:cs="仿宋_GB2312"/>
                <w:color w:val="000000"/>
                <w:szCs w:val="21"/>
              </w:rPr>
            </w:pPr>
          </w:p>
        </w:tc>
        <w:tc>
          <w:tcPr>
            <w:tcW w:w="545"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数量指标</w:t>
            </w:r>
          </w:p>
        </w:tc>
        <w:tc>
          <w:tcPr>
            <w:tcW w:w="582"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问卷数量</w:t>
            </w:r>
          </w:p>
        </w:tc>
        <w:tc>
          <w:tcPr>
            <w:tcW w:w="858"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每减少一份问卷扣减数量分值的1%，完成率低于60%不得分。</w:t>
            </w:r>
          </w:p>
        </w:tc>
        <w:tc>
          <w:tcPr>
            <w:tcW w:w="556"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印制测评问卷的数量</w:t>
            </w:r>
          </w:p>
        </w:tc>
        <w:tc>
          <w:tcPr>
            <w:tcW w:w="301"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33"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10000</w:t>
            </w:r>
          </w:p>
        </w:tc>
        <w:tc>
          <w:tcPr>
            <w:tcW w:w="301"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份</w:t>
            </w:r>
          </w:p>
        </w:tc>
        <w:tc>
          <w:tcPr>
            <w:tcW w:w="1008"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大纠风〔2020〕2号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10" w:type="pct"/>
            <w:vMerge w:val="continue"/>
            <w:shd w:val="clear" w:color="auto" w:fill="auto"/>
            <w:vAlign w:val="center"/>
          </w:tcPr>
          <w:p>
            <w:pPr>
              <w:spacing w:line="276" w:lineRule="auto"/>
              <w:jc w:val="center"/>
              <w:rPr>
                <w:rFonts w:ascii="宋体" w:hAnsi="宋体" w:cs="仿宋_GB2312"/>
                <w:color w:val="000000"/>
                <w:szCs w:val="21"/>
              </w:rPr>
            </w:pPr>
          </w:p>
        </w:tc>
        <w:tc>
          <w:tcPr>
            <w:tcW w:w="545"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数量指标</w:t>
            </w:r>
          </w:p>
        </w:tc>
        <w:tc>
          <w:tcPr>
            <w:tcW w:w="582"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活动次数</w:t>
            </w:r>
          </w:p>
        </w:tc>
        <w:tc>
          <w:tcPr>
            <w:tcW w:w="858"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每减少一次活动，扣数量分值50%。</w:t>
            </w:r>
          </w:p>
        </w:tc>
        <w:tc>
          <w:tcPr>
            <w:tcW w:w="556"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活动开展次数</w:t>
            </w:r>
          </w:p>
        </w:tc>
        <w:tc>
          <w:tcPr>
            <w:tcW w:w="301"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33"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2</w:t>
            </w:r>
          </w:p>
        </w:tc>
        <w:tc>
          <w:tcPr>
            <w:tcW w:w="301"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次</w:t>
            </w:r>
          </w:p>
        </w:tc>
        <w:tc>
          <w:tcPr>
            <w:tcW w:w="1008"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大字[2021]2号中共大厂回族自治县委、县政府、县人武部关于印发《大厂回族自治县关于进一步推进新时代全县基层武装工作高质量发展的意见》的通知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510" w:type="pct"/>
            <w:vMerge w:val="continue"/>
            <w:shd w:val="clear" w:color="auto" w:fill="auto"/>
            <w:vAlign w:val="center"/>
          </w:tcPr>
          <w:p>
            <w:pPr>
              <w:spacing w:line="276" w:lineRule="auto"/>
              <w:jc w:val="center"/>
              <w:rPr>
                <w:rFonts w:ascii="宋体" w:hAnsi="宋体" w:cs="仿宋_GB2312"/>
                <w:color w:val="000000"/>
                <w:szCs w:val="21"/>
              </w:rPr>
            </w:pPr>
          </w:p>
        </w:tc>
        <w:tc>
          <w:tcPr>
            <w:tcW w:w="545"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质量指标</w:t>
            </w:r>
          </w:p>
        </w:tc>
        <w:tc>
          <w:tcPr>
            <w:tcW w:w="582"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培训覆盖率</w:t>
            </w:r>
          </w:p>
        </w:tc>
        <w:tc>
          <w:tcPr>
            <w:tcW w:w="858"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覆盖率每下降一个百分点，扣质量分值1%，覆盖率低于50%不得分</w:t>
            </w:r>
          </w:p>
        </w:tc>
        <w:tc>
          <w:tcPr>
            <w:tcW w:w="556"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培训数量占应覆盖数量的比率</w:t>
            </w:r>
          </w:p>
        </w:tc>
        <w:tc>
          <w:tcPr>
            <w:tcW w:w="301"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33"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90</w:t>
            </w:r>
          </w:p>
        </w:tc>
        <w:tc>
          <w:tcPr>
            <w:tcW w:w="301"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1008"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510" w:type="pct"/>
            <w:vMerge w:val="continue"/>
            <w:shd w:val="clear" w:color="auto" w:fill="auto"/>
            <w:vAlign w:val="center"/>
          </w:tcPr>
          <w:p>
            <w:pPr>
              <w:spacing w:line="276" w:lineRule="auto"/>
              <w:jc w:val="center"/>
              <w:rPr>
                <w:rFonts w:ascii="宋体" w:hAnsi="宋体" w:cs="仿宋_GB2312"/>
                <w:color w:val="000000"/>
                <w:szCs w:val="21"/>
              </w:rPr>
            </w:pPr>
          </w:p>
        </w:tc>
        <w:tc>
          <w:tcPr>
            <w:tcW w:w="545"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质量指标</w:t>
            </w:r>
          </w:p>
        </w:tc>
        <w:tc>
          <w:tcPr>
            <w:tcW w:w="582" w:type="pct"/>
            <w:shd w:val="clear" w:color="auto" w:fill="auto"/>
            <w:noWrap/>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活动参与率</w:t>
            </w:r>
          </w:p>
        </w:tc>
        <w:tc>
          <w:tcPr>
            <w:tcW w:w="858"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达到目标值得满分，目标值每降低1%，扣减1%权重分，目标值低于60%不得分。</w:t>
            </w:r>
          </w:p>
        </w:tc>
        <w:tc>
          <w:tcPr>
            <w:tcW w:w="556"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参与党员占应参与党员的比率</w:t>
            </w:r>
          </w:p>
        </w:tc>
        <w:tc>
          <w:tcPr>
            <w:tcW w:w="301"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33"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90</w:t>
            </w:r>
          </w:p>
        </w:tc>
        <w:tc>
          <w:tcPr>
            <w:tcW w:w="301"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1008"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10" w:type="pct"/>
            <w:vMerge w:val="continue"/>
            <w:shd w:val="clear" w:color="auto" w:fill="auto"/>
            <w:vAlign w:val="center"/>
          </w:tcPr>
          <w:p>
            <w:pPr>
              <w:spacing w:line="276" w:lineRule="auto"/>
              <w:jc w:val="center"/>
              <w:rPr>
                <w:rFonts w:ascii="宋体" w:hAnsi="宋体" w:cs="仿宋_GB2312"/>
                <w:color w:val="000000"/>
                <w:szCs w:val="21"/>
              </w:rPr>
            </w:pPr>
          </w:p>
        </w:tc>
        <w:tc>
          <w:tcPr>
            <w:tcW w:w="545"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时效指标</w:t>
            </w:r>
          </w:p>
        </w:tc>
        <w:tc>
          <w:tcPr>
            <w:tcW w:w="582"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完成时间</w:t>
            </w:r>
          </w:p>
        </w:tc>
        <w:tc>
          <w:tcPr>
            <w:tcW w:w="858"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活动每延迟1天扣减1%，延迟超过1个月不得分。</w:t>
            </w:r>
          </w:p>
        </w:tc>
        <w:tc>
          <w:tcPr>
            <w:tcW w:w="556"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活动截止时间</w:t>
            </w:r>
          </w:p>
        </w:tc>
        <w:tc>
          <w:tcPr>
            <w:tcW w:w="301"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33"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12</w:t>
            </w:r>
          </w:p>
        </w:tc>
        <w:tc>
          <w:tcPr>
            <w:tcW w:w="301"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月</w:t>
            </w:r>
          </w:p>
        </w:tc>
        <w:tc>
          <w:tcPr>
            <w:tcW w:w="1008"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提交报告时间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510" w:type="pct"/>
            <w:vMerge w:val="restart"/>
            <w:shd w:val="clear" w:color="auto" w:fill="auto"/>
            <w:vAlign w:val="center"/>
          </w:tcPr>
          <w:p>
            <w:pPr>
              <w:widowControl/>
              <w:spacing w:line="276" w:lineRule="auto"/>
              <w:jc w:val="center"/>
              <w:textAlignment w:val="center"/>
              <w:rPr>
                <w:rFonts w:ascii="宋体" w:hAnsi="宋体" w:cs="仿宋_GB2312"/>
                <w:b/>
                <w:bCs/>
                <w:color w:val="000000"/>
                <w:szCs w:val="21"/>
              </w:rPr>
            </w:pPr>
            <w:r>
              <w:rPr>
                <w:rFonts w:hint="eastAsia" w:ascii="宋体" w:hAnsi="宋体" w:cs="仿宋_GB2312"/>
                <w:b/>
                <w:bCs/>
                <w:color w:val="000000"/>
                <w:kern w:val="0"/>
                <w:szCs w:val="21"/>
              </w:rPr>
              <w:t>部门效果</w:t>
            </w:r>
          </w:p>
        </w:tc>
        <w:tc>
          <w:tcPr>
            <w:tcW w:w="545"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社会效益指标</w:t>
            </w:r>
          </w:p>
        </w:tc>
        <w:tc>
          <w:tcPr>
            <w:tcW w:w="582" w:type="pct"/>
            <w:shd w:val="clear" w:color="auto" w:fill="auto"/>
            <w:noWrap/>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群众知晓率</w:t>
            </w:r>
          </w:p>
        </w:tc>
        <w:tc>
          <w:tcPr>
            <w:tcW w:w="858"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每下降一个百分点，扣效益分值1%，知晓率低于60%不得分。</w:t>
            </w:r>
          </w:p>
        </w:tc>
        <w:tc>
          <w:tcPr>
            <w:tcW w:w="556"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活动区域内的群众知晓率</w:t>
            </w:r>
          </w:p>
        </w:tc>
        <w:tc>
          <w:tcPr>
            <w:tcW w:w="301"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33"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95</w:t>
            </w:r>
          </w:p>
        </w:tc>
        <w:tc>
          <w:tcPr>
            <w:tcW w:w="301"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1008"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510" w:type="pct"/>
            <w:vMerge w:val="continue"/>
            <w:shd w:val="clear" w:color="auto" w:fill="auto"/>
            <w:vAlign w:val="center"/>
          </w:tcPr>
          <w:p>
            <w:pPr>
              <w:spacing w:line="276" w:lineRule="auto"/>
              <w:jc w:val="center"/>
              <w:rPr>
                <w:rFonts w:ascii="宋体" w:hAnsi="宋体" w:cs="仿宋_GB2312"/>
                <w:b/>
                <w:bCs/>
                <w:color w:val="000000"/>
                <w:szCs w:val="21"/>
              </w:rPr>
            </w:pPr>
          </w:p>
        </w:tc>
        <w:tc>
          <w:tcPr>
            <w:tcW w:w="545"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服务对象满意度指标</w:t>
            </w:r>
          </w:p>
        </w:tc>
        <w:tc>
          <w:tcPr>
            <w:tcW w:w="582" w:type="pct"/>
            <w:shd w:val="clear" w:color="auto" w:fill="auto"/>
            <w:noWrap/>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综合满意度</w:t>
            </w:r>
          </w:p>
        </w:tc>
        <w:tc>
          <w:tcPr>
            <w:tcW w:w="858"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满意度每降低5%，减满意度分值1%，满意度低于60%不得分。</w:t>
            </w:r>
          </w:p>
        </w:tc>
        <w:tc>
          <w:tcPr>
            <w:tcW w:w="556" w:type="pct"/>
            <w:shd w:val="clear" w:color="auto" w:fill="auto"/>
            <w:vAlign w:val="center"/>
          </w:tcPr>
          <w:p>
            <w:pPr>
              <w:widowControl/>
              <w:spacing w:line="276" w:lineRule="auto"/>
              <w:jc w:val="left"/>
              <w:textAlignment w:val="center"/>
              <w:rPr>
                <w:rFonts w:ascii="宋体" w:hAnsi="宋体" w:cs="仿宋_GB2312"/>
                <w:color w:val="000000"/>
                <w:szCs w:val="21"/>
              </w:rPr>
            </w:pPr>
            <w:r>
              <w:rPr>
                <w:rFonts w:hint="eastAsia" w:ascii="宋体" w:hAnsi="宋体" w:cs="仿宋_GB2312"/>
                <w:color w:val="000000"/>
                <w:kern w:val="0"/>
                <w:szCs w:val="21"/>
              </w:rPr>
              <w:t>参与活动的党支部满意度</w:t>
            </w:r>
          </w:p>
        </w:tc>
        <w:tc>
          <w:tcPr>
            <w:tcW w:w="301"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333"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95</w:t>
            </w:r>
          </w:p>
        </w:tc>
        <w:tc>
          <w:tcPr>
            <w:tcW w:w="301"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w:t>
            </w:r>
          </w:p>
        </w:tc>
        <w:tc>
          <w:tcPr>
            <w:tcW w:w="1008" w:type="pct"/>
            <w:shd w:val="clear" w:color="auto" w:fill="auto"/>
            <w:vAlign w:val="center"/>
          </w:tcPr>
          <w:p>
            <w:pPr>
              <w:widowControl/>
              <w:spacing w:line="276" w:lineRule="auto"/>
              <w:jc w:val="center"/>
              <w:textAlignment w:val="center"/>
              <w:rPr>
                <w:rFonts w:ascii="宋体" w:hAnsi="宋体" w:cs="仿宋_GB2312"/>
                <w:color w:val="000000"/>
                <w:szCs w:val="21"/>
              </w:rPr>
            </w:pPr>
            <w:r>
              <w:rPr>
                <w:rFonts w:hint="eastAsia" w:ascii="宋体" w:hAnsi="宋体" w:cs="仿宋_GB2312"/>
                <w:color w:val="000000"/>
                <w:kern w:val="0"/>
                <w:szCs w:val="21"/>
              </w:rPr>
              <w:t>调查问卷</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仿宋" w:hAnsi="仿宋" w:eastAsia="仿宋" w:cs="Times New Roman"/>
          <w:sz w:val="28"/>
        </w:rPr>
      </w:pPr>
      <w:r>
        <w:rPr>
          <w:rFonts w:ascii="仿宋" w:hAnsi="仿宋" w:eastAsia="仿宋" w:cs="Times New Roman"/>
          <w:sz w:val="28"/>
        </w:rPr>
        <w:t>1.</w:t>
      </w:r>
      <w:r>
        <w:rPr>
          <w:rFonts w:hint="eastAsia" w:ascii="仿宋" w:hAnsi="仿宋" w:eastAsia="仿宋" w:cs="Times New Roman"/>
          <w:sz w:val="28"/>
          <w:lang w:val="en-US" w:eastAsia="zh-CN"/>
        </w:rPr>
        <w:t>党建活动经费</w:t>
      </w:r>
      <w:r>
        <w:rPr>
          <w:rFonts w:ascii="仿宋" w:hAnsi="仿宋" w:eastAsia="仿宋" w:cs="Times New Roman"/>
          <w:sz w:val="28"/>
        </w:rPr>
        <w:t>绩效目标表</w:t>
      </w:r>
      <w:bookmarkStart w:id="0" w:name="_Toc29799657"/>
      <w:bookmarkEnd w:id="0"/>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07" w:hRule="atLeast"/>
          <w:tblHeader/>
          <w:jc w:val="center"/>
        </w:trPr>
        <w:tc>
          <w:tcPr>
            <w:tcW w:w="2409"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11653" w:type="dxa"/>
            <w:gridSpan w:val="5"/>
            <w:shd w:val="clear" w:color="auto" w:fill="auto"/>
            <w:vAlign w:val="center"/>
          </w:tcPr>
          <w:p>
            <w:pPr>
              <w:spacing w:line="300" w:lineRule="exact"/>
              <w:rPr>
                <w:rFonts w:hint="default" w:ascii="仿宋" w:hAnsi="仿宋" w:eastAsia="仿宋" w:cs="Times New Roman"/>
                <w:b/>
                <w:sz w:val="24"/>
                <w:szCs w:val="24"/>
                <w:lang w:val="en-US" w:eastAsia="zh-CN"/>
              </w:rPr>
            </w:pPr>
            <w:r>
              <w:rPr>
                <w:rFonts w:hint="eastAsia" w:ascii="仿宋" w:hAnsi="仿宋" w:eastAsia="仿宋" w:cs="Times New Roman"/>
                <w:b/>
                <w:sz w:val="24"/>
                <w:szCs w:val="24"/>
                <w:lang w:val="en-US" w:eastAsia="zh-CN"/>
              </w:rPr>
              <w:t>通过开展各项党内组织活动，全面提高县直机关基层基础工作，进一步激发广大党员干部干事创业的作风。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77" w:hRule="atLeast"/>
          <w:tblHeader/>
          <w:jc w:val="center"/>
        </w:trPr>
        <w:tc>
          <w:tcPr>
            <w:tcW w:w="2409"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2268"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1985"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3402"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843"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2155"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4" w:hRule="atLeast"/>
          <w:jc w:val="center"/>
        </w:trPr>
        <w:tc>
          <w:tcPr>
            <w:tcW w:w="2409"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2268"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数量指标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参与数量</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参与活动的党支部数量</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≥100个</w:t>
            </w:r>
          </w:p>
        </w:tc>
        <w:tc>
          <w:tcPr>
            <w:tcW w:w="21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党库内党支部数量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jc w:val="center"/>
        </w:trPr>
        <w:tc>
          <w:tcPr>
            <w:tcW w:w="2409" w:type="dxa"/>
            <w:vMerge w:val="continue"/>
            <w:shd w:val="clear" w:color="auto" w:fill="auto"/>
            <w:vAlign w:val="center"/>
          </w:tcPr>
          <w:p>
            <w:pPr>
              <w:rPr>
                <w:rFonts w:ascii="仿宋" w:hAnsi="仿宋" w:eastAsia="仿宋"/>
                <w:sz w:val="24"/>
                <w:szCs w:val="24"/>
              </w:rPr>
            </w:pPr>
          </w:p>
        </w:tc>
        <w:tc>
          <w:tcPr>
            <w:tcW w:w="2268"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质量指标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培训覆盖率</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培训数量占应覆盖数量的比率</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≥90%</w:t>
            </w:r>
          </w:p>
        </w:tc>
        <w:tc>
          <w:tcPr>
            <w:tcW w:w="21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活动方案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jc w:val="center"/>
        </w:trPr>
        <w:tc>
          <w:tcPr>
            <w:tcW w:w="2409" w:type="dxa"/>
            <w:vMerge w:val="continue"/>
            <w:shd w:val="clear" w:color="auto" w:fill="auto"/>
            <w:vAlign w:val="center"/>
          </w:tcPr>
          <w:p>
            <w:pPr>
              <w:rPr>
                <w:rFonts w:ascii="仿宋" w:hAnsi="仿宋" w:eastAsia="仿宋"/>
                <w:sz w:val="24"/>
                <w:szCs w:val="24"/>
              </w:rPr>
            </w:pPr>
          </w:p>
        </w:tc>
        <w:tc>
          <w:tcPr>
            <w:tcW w:w="2268"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时效指标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培训完成时间</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按照计划完成培训的时间</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12个月</w:t>
            </w:r>
          </w:p>
        </w:tc>
        <w:tc>
          <w:tcPr>
            <w:tcW w:w="21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活动方案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9" w:hRule="atLeast"/>
          <w:jc w:val="center"/>
        </w:trPr>
        <w:tc>
          <w:tcPr>
            <w:tcW w:w="2409" w:type="dxa"/>
            <w:vMerge w:val="continue"/>
            <w:shd w:val="clear" w:color="auto" w:fill="auto"/>
            <w:vAlign w:val="center"/>
          </w:tcPr>
          <w:p>
            <w:pPr>
              <w:rPr>
                <w:rFonts w:ascii="仿宋" w:hAnsi="仿宋" w:eastAsia="仿宋"/>
                <w:sz w:val="24"/>
                <w:szCs w:val="24"/>
              </w:rPr>
            </w:pPr>
          </w:p>
        </w:tc>
        <w:tc>
          <w:tcPr>
            <w:tcW w:w="2268"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成本指标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项目成本</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项目预算数</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3万元</w:t>
            </w:r>
          </w:p>
        </w:tc>
        <w:tc>
          <w:tcPr>
            <w:tcW w:w="21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2409"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2268"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社会效益指标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知晓率</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活动区域内的知晓率</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≥95%</w:t>
            </w:r>
          </w:p>
        </w:tc>
        <w:tc>
          <w:tcPr>
            <w:tcW w:w="21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04" w:hRule="atLeast"/>
          <w:jc w:val="center"/>
        </w:trPr>
        <w:tc>
          <w:tcPr>
            <w:tcW w:w="2409"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2268"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服务对象满意度指标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综合满意度</w:t>
            </w:r>
          </w:p>
        </w:tc>
        <w:tc>
          <w:tcPr>
            <w:tcW w:w="3402" w:type="dxa"/>
            <w:shd w:val="clear" w:color="auto" w:fill="auto"/>
            <w:vAlign w:val="center"/>
          </w:tcPr>
          <w:p>
            <w:pPr>
              <w:pStyle w:val="15"/>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参与活动的党支部的满意度</w:t>
            </w:r>
          </w:p>
          <w:p>
            <w:pPr>
              <w:pStyle w:val="15"/>
              <w:ind w:firstLine="0" w:firstLineChars="0"/>
              <w:rPr>
                <w:rFonts w:ascii="仿宋" w:hAnsi="仿宋" w:eastAsia="仿宋" w:cs="Times New Roman"/>
                <w:kern w:val="2"/>
                <w:sz w:val="24"/>
                <w:szCs w:val="24"/>
                <w:lang w:val="en-US" w:eastAsia="zh-CN" w:bidi="ar-SA"/>
              </w:rPr>
            </w:pP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≥95%</w:t>
            </w:r>
          </w:p>
        </w:tc>
        <w:tc>
          <w:tcPr>
            <w:tcW w:w="21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调查问卷</w:t>
            </w:r>
          </w:p>
        </w:tc>
      </w:tr>
    </w:tbl>
    <w:p>
      <w:pPr>
        <w:ind w:firstLine="560" w:firstLineChars="200"/>
        <w:jc w:val="left"/>
        <w:outlineLvl w:val="1"/>
        <w:rPr>
          <w:rFonts w:ascii="仿宋" w:hAnsi="仿宋" w:eastAsia="仿宋" w:cs="Times New Roman"/>
          <w:sz w:val="28"/>
        </w:rPr>
      </w:pPr>
    </w:p>
    <w:p>
      <w:pPr>
        <w:ind w:firstLine="560" w:firstLineChars="200"/>
        <w:jc w:val="left"/>
        <w:outlineLvl w:val="1"/>
        <w:rPr>
          <w:rFonts w:ascii="仿宋" w:hAnsi="仿宋" w:eastAsia="仿宋" w:cs="Times New Roman"/>
          <w:sz w:val="28"/>
        </w:rPr>
      </w:pPr>
      <w:r>
        <w:rPr>
          <w:rFonts w:ascii="仿宋" w:hAnsi="仿宋" w:eastAsia="仿宋" w:cs="Times New Roman"/>
          <w:sz w:val="28"/>
        </w:rPr>
        <w:t>2.</w:t>
      </w:r>
      <w:r>
        <w:rPr>
          <w:rFonts w:hint="eastAsia" w:ascii="仿宋" w:hAnsi="仿宋" w:eastAsia="仿宋" w:cs="Times New Roman"/>
          <w:sz w:val="28"/>
          <w:lang w:val="en-US" w:eastAsia="zh-CN"/>
        </w:rPr>
        <w:t>党员志愿服务活动</w:t>
      </w:r>
      <w:r>
        <w:rPr>
          <w:rFonts w:ascii="仿宋" w:hAnsi="仿宋" w:eastAsia="仿宋" w:cs="Times New Roman"/>
          <w:sz w:val="28"/>
        </w:rPr>
        <w:t>绩效目标表</w:t>
      </w:r>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97" w:hRule="atLeast"/>
          <w:tblHeader/>
          <w:jc w:val="center"/>
        </w:trPr>
        <w:tc>
          <w:tcPr>
            <w:tcW w:w="2409"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11653"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s="Times New Roman"/>
                <w:b/>
                <w:sz w:val="24"/>
                <w:szCs w:val="24"/>
              </w:rPr>
            </w:pPr>
            <w:r>
              <w:rPr>
                <w:rFonts w:hint="eastAsia" w:ascii="仿宋" w:hAnsi="仿宋" w:eastAsia="仿宋" w:cs="Times New Roman"/>
                <w:sz w:val="28"/>
                <w:lang w:val="en-US" w:eastAsia="zh-CN"/>
              </w:rPr>
              <w:t>通过开展党员志愿者服务活动，提高党员的宗旨意识，进一步增进党群、干群关系，为党的建设打下坚实基础。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47" w:hRule="atLeast"/>
          <w:tblHeader/>
          <w:jc w:val="center"/>
        </w:trPr>
        <w:tc>
          <w:tcPr>
            <w:tcW w:w="2409"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2268"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1985"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3402"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843"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2155"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2268"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数量指标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活动开展次数</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一年中活动开展的次数</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≥4次</w:t>
            </w:r>
          </w:p>
        </w:tc>
        <w:tc>
          <w:tcPr>
            <w:tcW w:w="21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活动方案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jc w:val="center"/>
        </w:trPr>
        <w:tc>
          <w:tcPr>
            <w:tcW w:w="2409" w:type="dxa"/>
            <w:vMerge w:val="continue"/>
            <w:shd w:val="clear" w:color="auto" w:fill="auto"/>
            <w:vAlign w:val="center"/>
          </w:tcPr>
          <w:p>
            <w:pPr>
              <w:rPr>
                <w:rFonts w:ascii="仿宋" w:hAnsi="仿宋" w:eastAsia="仿宋"/>
                <w:sz w:val="24"/>
                <w:szCs w:val="24"/>
              </w:rPr>
            </w:pPr>
          </w:p>
        </w:tc>
        <w:tc>
          <w:tcPr>
            <w:tcW w:w="2268"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质量指标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参与率</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参与党员占应参与党员的比率</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≥90%</w:t>
            </w:r>
          </w:p>
        </w:tc>
        <w:tc>
          <w:tcPr>
            <w:tcW w:w="21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9" w:hRule="atLeast"/>
          <w:jc w:val="center"/>
        </w:trPr>
        <w:tc>
          <w:tcPr>
            <w:tcW w:w="2409" w:type="dxa"/>
            <w:vMerge w:val="continue"/>
            <w:shd w:val="clear" w:color="auto" w:fill="auto"/>
            <w:vAlign w:val="center"/>
          </w:tcPr>
          <w:p>
            <w:pPr>
              <w:rPr>
                <w:rFonts w:ascii="仿宋" w:hAnsi="仿宋" w:eastAsia="仿宋"/>
                <w:sz w:val="24"/>
                <w:szCs w:val="24"/>
              </w:rPr>
            </w:pPr>
          </w:p>
        </w:tc>
        <w:tc>
          <w:tcPr>
            <w:tcW w:w="2268"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时效指标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活动开展时间</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活动开展时间</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1年</w:t>
            </w:r>
          </w:p>
        </w:tc>
        <w:tc>
          <w:tcPr>
            <w:tcW w:w="21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89" w:hRule="atLeast"/>
          <w:jc w:val="center"/>
        </w:trPr>
        <w:tc>
          <w:tcPr>
            <w:tcW w:w="2409" w:type="dxa"/>
            <w:vMerge w:val="continue"/>
            <w:shd w:val="clear" w:color="auto" w:fill="auto"/>
            <w:vAlign w:val="center"/>
          </w:tcPr>
          <w:p>
            <w:pPr>
              <w:rPr>
                <w:rFonts w:ascii="仿宋" w:hAnsi="仿宋" w:eastAsia="仿宋"/>
                <w:sz w:val="24"/>
                <w:szCs w:val="24"/>
              </w:rPr>
            </w:pPr>
          </w:p>
        </w:tc>
        <w:tc>
          <w:tcPr>
            <w:tcW w:w="2268"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成本指标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项目成本</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项目预算数</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1万元</w:t>
            </w:r>
          </w:p>
        </w:tc>
        <w:tc>
          <w:tcPr>
            <w:tcW w:w="21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9" w:hRule="atLeast"/>
          <w:jc w:val="center"/>
        </w:trPr>
        <w:tc>
          <w:tcPr>
            <w:tcW w:w="2409"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2268"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社会效益指标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知晓率</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活动区域内的知晓率</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≥95%</w:t>
            </w:r>
          </w:p>
        </w:tc>
        <w:tc>
          <w:tcPr>
            <w:tcW w:w="21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4" w:hRule="atLeast"/>
          <w:jc w:val="center"/>
        </w:trPr>
        <w:tc>
          <w:tcPr>
            <w:tcW w:w="2409"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2268"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服务对象满意度指标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综合满意度</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参与党员的满意程度</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≥95%</w:t>
            </w:r>
          </w:p>
        </w:tc>
        <w:tc>
          <w:tcPr>
            <w:tcW w:w="21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lang w:val="en-US" w:eastAsia="zh-CN"/>
        </w:rPr>
        <w:t>3</w:t>
      </w:r>
      <w:r>
        <w:rPr>
          <w:rFonts w:ascii="仿宋" w:hAnsi="仿宋" w:eastAsia="仿宋" w:cs="Times New Roman"/>
          <w:sz w:val="28"/>
        </w:rPr>
        <w:t>.开展窗口单位和重点行业群众满意度测评资金绩效目标表</w:t>
      </w:r>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3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0"/>
        <w:gridCol w:w="2567"/>
        <w:gridCol w:w="1985"/>
        <w:gridCol w:w="3402"/>
        <w:gridCol w:w="1843"/>
        <w:gridCol w:w="24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27" w:hRule="atLeast"/>
          <w:tblHeader/>
          <w:jc w:val="center"/>
        </w:trPr>
        <w:tc>
          <w:tcPr>
            <w:tcW w:w="2110"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12204" w:type="dxa"/>
            <w:gridSpan w:val="5"/>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仿宋" w:hAnsi="仿宋" w:eastAsia="仿宋" w:cs="Times New Roman"/>
                <w:b/>
                <w:sz w:val="24"/>
                <w:szCs w:val="24"/>
              </w:rPr>
            </w:pPr>
            <w:r>
              <w:rPr>
                <w:rFonts w:ascii="仿宋" w:hAnsi="仿宋" w:eastAsia="仿宋" w:cs="Times New Roman"/>
                <w:sz w:val="28"/>
                <w:lang w:val="en-US" w:eastAsia="zh-CN"/>
              </w:rPr>
              <w:t>通过全县窗口单位和重点行业群众满意度测评，激励县级机关党员干部转作风，奋勇争先，敢于担当，为“十四五”开局提供坚实作风保障</w:t>
            </w:r>
            <w:r>
              <w:rPr>
                <w:rFonts w:ascii="仿宋" w:hAnsi="仿宋" w:eastAsia="仿宋" w:cs="Times New Roman"/>
                <w:sz w:val="2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77" w:hRule="atLeast"/>
          <w:tblHeader/>
          <w:jc w:val="center"/>
        </w:trPr>
        <w:tc>
          <w:tcPr>
            <w:tcW w:w="2110"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2567"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1985"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3402"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843"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2407"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4" w:hRule="atLeast"/>
          <w:jc w:val="center"/>
        </w:trPr>
        <w:tc>
          <w:tcPr>
            <w:tcW w:w="2110"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2567"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数量指标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问卷数量</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印制测评问卷的数量</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10000份</w:t>
            </w:r>
          </w:p>
        </w:tc>
        <w:tc>
          <w:tcPr>
            <w:tcW w:w="2407"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大纠风〔2020〕2号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4" w:hRule="atLeast"/>
          <w:jc w:val="center"/>
        </w:trPr>
        <w:tc>
          <w:tcPr>
            <w:tcW w:w="2110" w:type="dxa"/>
            <w:vMerge w:val="continue"/>
            <w:shd w:val="clear" w:color="auto" w:fill="auto"/>
            <w:vAlign w:val="center"/>
          </w:tcPr>
          <w:p>
            <w:pPr>
              <w:rPr>
                <w:rFonts w:ascii="仿宋" w:hAnsi="仿宋" w:eastAsia="仿宋"/>
                <w:sz w:val="24"/>
                <w:szCs w:val="24"/>
              </w:rPr>
            </w:pPr>
          </w:p>
        </w:tc>
        <w:tc>
          <w:tcPr>
            <w:tcW w:w="2567"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质量指标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参与率</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参与人数占应参与人数的比率</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≥90%</w:t>
            </w:r>
          </w:p>
        </w:tc>
        <w:tc>
          <w:tcPr>
            <w:tcW w:w="2407"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评议结果报告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4" w:hRule="atLeast"/>
          <w:jc w:val="center"/>
        </w:trPr>
        <w:tc>
          <w:tcPr>
            <w:tcW w:w="2110" w:type="dxa"/>
            <w:vMerge w:val="continue"/>
            <w:shd w:val="clear" w:color="auto" w:fill="auto"/>
            <w:vAlign w:val="center"/>
          </w:tcPr>
          <w:p>
            <w:pPr>
              <w:rPr>
                <w:rFonts w:ascii="仿宋" w:hAnsi="仿宋" w:eastAsia="仿宋"/>
                <w:sz w:val="24"/>
                <w:szCs w:val="24"/>
              </w:rPr>
            </w:pPr>
          </w:p>
        </w:tc>
        <w:tc>
          <w:tcPr>
            <w:tcW w:w="2567"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时效指标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完成时间</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活动截止时间</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≤12月</w:t>
            </w:r>
          </w:p>
        </w:tc>
        <w:tc>
          <w:tcPr>
            <w:tcW w:w="2407"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提交报告时间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110" w:type="dxa"/>
            <w:vMerge w:val="continue"/>
            <w:shd w:val="clear" w:color="auto" w:fill="auto"/>
            <w:vAlign w:val="center"/>
          </w:tcPr>
          <w:p>
            <w:pPr>
              <w:rPr>
                <w:rFonts w:ascii="仿宋" w:hAnsi="仿宋" w:eastAsia="仿宋"/>
                <w:sz w:val="24"/>
                <w:szCs w:val="24"/>
              </w:rPr>
            </w:pPr>
          </w:p>
        </w:tc>
        <w:tc>
          <w:tcPr>
            <w:tcW w:w="2567"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成本指标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项目成本</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项目预算数</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4万元</w:t>
            </w:r>
          </w:p>
        </w:tc>
        <w:tc>
          <w:tcPr>
            <w:tcW w:w="2407"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大纠风〔2020〕2号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2110"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2567"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社会效益指标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行风评议活动开展影响</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进一步激励全县各级党员干部持续转变工作作风。</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≥90%</w:t>
            </w:r>
          </w:p>
        </w:tc>
        <w:tc>
          <w:tcPr>
            <w:tcW w:w="2407"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34" w:hRule="atLeast"/>
          <w:jc w:val="center"/>
        </w:trPr>
        <w:tc>
          <w:tcPr>
            <w:tcW w:w="2110"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2567"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服务对象满意度指标</w:t>
            </w:r>
          </w:p>
        </w:tc>
        <w:tc>
          <w:tcPr>
            <w:tcW w:w="198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综合满意度</w:t>
            </w:r>
          </w:p>
        </w:tc>
        <w:tc>
          <w:tcPr>
            <w:tcW w:w="3402"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参与人员的满意程度</w:t>
            </w:r>
          </w:p>
        </w:tc>
        <w:tc>
          <w:tcPr>
            <w:tcW w:w="1843"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≥90%</w:t>
            </w:r>
          </w:p>
        </w:tc>
        <w:tc>
          <w:tcPr>
            <w:tcW w:w="2407"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评议结果报告</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仿宋" w:hAnsi="仿宋" w:eastAsia="仿宋" w:cs="Times New Roman"/>
          <w:sz w:val="28"/>
        </w:rPr>
      </w:pPr>
      <w:r>
        <w:rPr>
          <w:rFonts w:hint="eastAsia" w:ascii="仿宋" w:hAnsi="仿宋" w:eastAsia="仿宋" w:cs="Times New Roman"/>
          <w:sz w:val="28"/>
          <w:lang w:val="en-US" w:eastAsia="zh-CN"/>
        </w:rPr>
        <w:t>4</w:t>
      </w:r>
      <w:r>
        <w:rPr>
          <w:rFonts w:ascii="仿宋" w:hAnsi="仿宋" w:eastAsia="仿宋" w:cs="Times New Roman"/>
          <w:sz w:val="28"/>
        </w:rPr>
        <w:t>.武装工作经费绩效目标表</w:t>
      </w:r>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9"/>
        <w:gridCol w:w="1455"/>
        <w:gridCol w:w="1260"/>
        <w:gridCol w:w="2295"/>
        <w:gridCol w:w="1395"/>
        <w:gridCol w:w="61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27" w:hRule="atLeast"/>
          <w:tblHeader/>
          <w:jc w:val="center"/>
        </w:trPr>
        <w:tc>
          <w:tcPr>
            <w:tcW w:w="1489"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绩效目标</w:t>
            </w:r>
          </w:p>
        </w:tc>
        <w:tc>
          <w:tcPr>
            <w:tcW w:w="12573" w:type="dxa"/>
            <w:gridSpan w:val="5"/>
            <w:shd w:val="clear" w:color="auto" w:fill="auto"/>
            <w:vAlign w:val="center"/>
          </w:tcPr>
          <w:p>
            <w:pPr>
              <w:spacing w:line="300" w:lineRule="exact"/>
              <w:rPr>
                <w:rFonts w:hint="default" w:ascii="仿宋" w:hAnsi="仿宋" w:eastAsia="仿宋" w:cs="Times New Roman"/>
                <w:b/>
                <w:sz w:val="24"/>
                <w:szCs w:val="24"/>
                <w:lang w:val="en-US" w:eastAsia="zh-CN"/>
              </w:rPr>
            </w:pPr>
            <w:r>
              <w:rPr>
                <w:rFonts w:hint="eastAsia" w:ascii="仿宋" w:hAnsi="仿宋" w:eastAsia="仿宋" w:cs="Times New Roman"/>
                <w:sz w:val="28"/>
                <w:lang w:val="en-US" w:eastAsia="zh-CN"/>
              </w:rPr>
              <w:t>通过开展此项活动，提升县直机关的政治站位，提升基层武装工作质量，全面规范基层武装工作秩序。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47" w:hRule="atLeast"/>
          <w:tblHeader/>
          <w:jc w:val="center"/>
        </w:trPr>
        <w:tc>
          <w:tcPr>
            <w:tcW w:w="1489"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一级指标</w:t>
            </w:r>
          </w:p>
        </w:tc>
        <w:tc>
          <w:tcPr>
            <w:tcW w:w="1455"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二级指标</w:t>
            </w:r>
          </w:p>
        </w:tc>
        <w:tc>
          <w:tcPr>
            <w:tcW w:w="1260"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三级指标</w:t>
            </w:r>
          </w:p>
        </w:tc>
        <w:tc>
          <w:tcPr>
            <w:tcW w:w="2295"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绩效指标描述</w:t>
            </w:r>
          </w:p>
        </w:tc>
        <w:tc>
          <w:tcPr>
            <w:tcW w:w="1395"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w:t>
            </w:r>
          </w:p>
        </w:tc>
        <w:tc>
          <w:tcPr>
            <w:tcW w:w="6168" w:type="dxa"/>
            <w:shd w:val="clear" w:color="auto" w:fill="auto"/>
            <w:vAlign w:val="center"/>
          </w:tcPr>
          <w:p>
            <w:pPr>
              <w:spacing w:line="300" w:lineRule="exact"/>
              <w:jc w:val="center"/>
              <w:rPr>
                <w:rFonts w:ascii="仿宋" w:hAnsi="仿宋" w:eastAsia="仿宋" w:cs="Times New Roman"/>
                <w:b/>
                <w:sz w:val="24"/>
                <w:szCs w:val="24"/>
              </w:rPr>
            </w:pPr>
            <w:r>
              <w:rPr>
                <w:rFonts w:ascii="仿宋" w:hAnsi="仿宋" w:eastAsia="仿宋" w:cs="Times New Roman"/>
                <w:b/>
                <w:sz w:val="24"/>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vMerge w:val="restart"/>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产出指标</w:t>
            </w:r>
          </w:p>
        </w:tc>
        <w:tc>
          <w:tcPr>
            <w:tcW w:w="14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数量指标</w:t>
            </w:r>
          </w:p>
        </w:tc>
        <w:tc>
          <w:tcPr>
            <w:tcW w:w="1260"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活动次数</w:t>
            </w:r>
          </w:p>
        </w:tc>
        <w:tc>
          <w:tcPr>
            <w:tcW w:w="229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活动开展次数</w:t>
            </w:r>
          </w:p>
        </w:tc>
        <w:tc>
          <w:tcPr>
            <w:tcW w:w="139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2次</w:t>
            </w:r>
          </w:p>
        </w:tc>
        <w:tc>
          <w:tcPr>
            <w:tcW w:w="6168"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大字[2021]2号中共大厂回族自治县委、县政府、县人武部关于印发《大厂回族自治县关于进一步推进新时代全县基层武装工作高质量发展的意见》的通知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sz w:val="24"/>
                <w:szCs w:val="24"/>
              </w:rPr>
            </w:pPr>
          </w:p>
        </w:tc>
        <w:tc>
          <w:tcPr>
            <w:tcW w:w="14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质量指标</w:t>
            </w:r>
          </w:p>
        </w:tc>
        <w:tc>
          <w:tcPr>
            <w:tcW w:w="1260"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参与率</w:t>
            </w:r>
          </w:p>
        </w:tc>
        <w:tc>
          <w:tcPr>
            <w:tcW w:w="229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参加人员占应参加人员的比率</w:t>
            </w:r>
          </w:p>
        </w:tc>
        <w:tc>
          <w:tcPr>
            <w:tcW w:w="139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≥90%</w:t>
            </w:r>
          </w:p>
        </w:tc>
        <w:tc>
          <w:tcPr>
            <w:tcW w:w="6168"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大字[2021]2号中共大厂回族自治县委、县政府、县人武部关于印发《大厂回族自治县关于进一步推进新时代全县基层武装工作高质量发展的意见》的通知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sz w:val="24"/>
                <w:szCs w:val="24"/>
              </w:rPr>
            </w:pPr>
          </w:p>
        </w:tc>
        <w:tc>
          <w:tcPr>
            <w:tcW w:w="14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时效指标</w:t>
            </w:r>
          </w:p>
        </w:tc>
        <w:tc>
          <w:tcPr>
            <w:tcW w:w="1260"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完成时间</w:t>
            </w:r>
          </w:p>
        </w:tc>
        <w:tc>
          <w:tcPr>
            <w:tcW w:w="229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按照计划完成活动的时间</w:t>
            </w:r>
          </w:p>
        </w:tc>
        <w:tc>
          <w:tcPr>
            <w:tcW w:w="139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12月</w:t>
            </w:r>
          </w:p>
        </w:tc>
        <w:tc>
          <w:tcPr>
            <w:tcW w:w="6168"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大字[2021]2号中共大厂回族自治县委、县政府、县人武部关于印发《大厂回族自治县关于进一步推进新时代全县基层武装工作高质量发展的意见》的通知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vMerge w:val="continue"/>
            <w:shd w:val="clear" w:color="auto" w:fill="auto"/>
            <w:vAlign w:val="center"/>
          </w:tcPr>
          <w:p>
            <w:pPr>
              <w:rPr>
                <w:rFonts w:ascii="仿宋" w:hAnsi="仿宋" w:eastAsia="仿宋"/>
                <w:sz w:val="24"/>
                <w:szCs w:val="24"/>
              </w:rPr>
            </w:pPr>
          </w:p>
        </w:tc>
        <w:tc>
          <w:tcPr>
            <w:tcW w:w="14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成本指标</w:t>
            </w:r>
          </w:p>
        </w:tc>
        <w:tc>
          <w:tcPr>
            <w:tcW w:w="1260"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项目成本</w:t>
            </w:r>
          </w:p>
        </w:tc>
        <w:tc>
          <w:tcPr>
            <w:tcW w:w="229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项目预算数</w:t>
            </w:r>
          </w:p>
        </w:tc>
        <w:tc>
          <w:tcPr>
            <w:tcW w:w="139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1万元</w:t>
            </w:r>
          </w:p>
        </w:tc>
        <w:tc>
          <w:tcPr>
            <w:tcW w:w="6168"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大字[2021]2号中共大厂回族自治县委、县政府、县人武部关于印发《大厂回族自治县关于进一步推进新时代全县基层武装工作高质量发展的意见》的通知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9"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效果指标</w:t>
            </w:r>
          </w:p>
        </w:tc>
        <w:tc>
          <w:tcPr>
            <w:tcW w:w="145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社会效益指标</w:t>
            </w:r>
          </w:p>
        </w:tc>
        <w:tc>
          <w:tcPr>
            <w:tcW w:w="1260"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知晓率</w:t>
            </w:r>
          </w:p>
        </w:tc>
        <w:tc>
          <w:tcPr>
            <w:tcW w:w="229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活动区域内的知晓率</w:t>
            </w:r>
          </w:p>
        </w:tc>
        <w:tc>
          <w:tcPr>
            <w:tcW w:w="139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≥95%</w:t>
            </w:r>
          </w:p>
        </w:tc>
        <w:tc>
          <w:tcPr>
            <w:tcW w:w="6168"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08" w:hRule="atLeast"/>
          <w:jc w:val="center"/>
        </w:trPr>
        <w:tc>
          <w:tcPr>
            <w:tcW w:w="1489" w:type="dxa"/>
            <w:shd w:val="clear" w:color="auto" w:fill="auto"/>
            <w:vAlign w:val="center"/>
          </w:tcPr>
          <w:p>
            <w:pPr>
              <w:spacing w:line="300" w:lineRule="exact"/>
              <w:jc w:val="center"/>
              <w:rPr>
                <w:rFonts w:ascii="仿宋" w:hAnsi="仿宋" w:eastAsia="仿宋" w:cs="Times New Roman"/>
                <w:sz w:val="24"/>
                <w:szCs w:val="24"/>
              </w:rPr>
            </w:pPr>
            <w:r>
              <w:rPr>
                <w:rFonts w:ascii="仿宋" w:hAnsi="仿宋" w:eastAsia="仿宋" w:cs="Times New Roman"/>
                <w:sz w:val="24"/>
                <w:szCs w:val="24"/>
              </w:rPr>
              <w:t>满意度指标</w:t>
            </w:r>
          </w:p>
        </w:tc>
        <w:tc>
          <w:tcPr>
            <w:tcW w:w="1455"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服务对象满意度指标</w:t>
            </w:r>
          </w:p>
        </w:tc>
        <w:tc>
          <w:tcPr>
            <w:tcW w:w="1260" w:type="dxa"/>
            <w:shd w:val="clear" w:color="auto" w:fill="auto"/>
            <w:vAlign w:val="center"/>
          </w:tcPr>
          <w:p>
            <w:pPr>
              <w:pStyle w:val="15"/>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综合满意度</w:t>
            </w:r>
          </w:p>
        </w:tc>
        <w:tc>
          <w:tcPr>
            <w:tcW w:w="229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群众满意度</w:t>
            </w:r>
          </w:p>
        </w:tc>
        <w:tc>
          <w:tcPr>
            <w:tcW w:w="1395"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≥95%</w:t>
            </w:r>
          </w:p>
        </w:tc>
        <w:tc>
          <w:tcPr>
            <w:tcW w:w="6168" w:type="dxa"/>
            <w:shd w:val="clear" w:color="auto" w:fill="auto"/>
            <w:vAlign w:val="center"/>
          </w:tcPr>
          <w:p>
            <w:pPr>
              <w:pStyle w:val="15"/>
              <w:ind w:firstLine="0" w:firstLineChars="0"/>
              <w:rPr>
                <w:rFonts w:ascii="仿宋" w:hAnsi="仿宋" w:eastAsia="仿宋" w:cs="Times New Roman"/>
                <w:kern w:val="2"/>
                <w:sz w:val="24"/>
                <w:szCs w:val="24"/>
                <w:lang w:val="en-US" w:eastAsia="zh-CN" w:bidi="ar-SA"/>
              </w:rPr>
            </w:pPr>
            <w:r>
              <w:rPr>
                <w:rFonts w:ascii="仿宋" w:hAnsi="仿宋" w:eastAsia="仿宋" w:cs="Times New Roman"/>
                <w:kern w:val="2"/>
                <w:sz w:val="24"/>
                <w:szCs w:val="24"/>
                <w:lang w:val="en-US" w:eastAsia="zh-CN" w:bidi="ar-SA"/>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1"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w:t>
      </w:r>
      <w:r>
        <w:rPr>
          <w:rFonts w:hint="eastAsia" w:ascii="仿宋" w:hAnsi="仿宋" w:eastAsia="仿宋" w:cs="Times New Roman"/>
          <w:sz w:val="32"/>
          <w:szCs w:val="24"/>
          <w:lang w:val="en-US" w:eastAsia="zh-CN"/>
        </w:rPr>
        <w:t>无</w:t>
      </w:r>
      <w:r>
        <w:rPr>
          <w:rFonts w:ascii="仿宋" w:hAnsi="仿宋" w:eastAsia="仿宋" w:cs="Times New Roman"/>
          <w:sz w:val="32"/>
          <w:szCs w:val="24"/>
        </w:rPr>
        <w:t>政府采购预算。具体内容见下表。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47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2"/>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921"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sz w:val="24"/>
                <w:lang w:val="en-US" w:eastAsia="zh-CN"/>
              </w:rPr>
              <w:t>中共大厂回族自治县委县直机关工作委员会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336"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202"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02"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02"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02"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02"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02"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02"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02"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202"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hint="default" w:ascii="Times New Roman" w:hAnsi="Times New Roman" w:eastAsia="仿宋_GB2312" w:cs="Times New Roman"/>
          <w:lang w:val="en-US" w:eastAsia="zh-CN"/>
        </w:rPr>
        <w:sectPr>
          <w:footerReference r:id="rId3" w:type="default"/>
          <w:pgSz w:w="16839" w:h="11907" w:orient="landscape"/>
          <w:pgMar w:top="1361" w:right="1361" w:bottom="1361" w:left="1361" w:header="851" w:footer="992" w:gutter="0"/>
          <w:cols w:space="720" w:num="1"/>
          <w:docGrid w:type="lines" w:linePitch="312" w:charSpace="0"/>
        </w:sectPr>
      </w:pPr>
      <w:r>
        <w:rPr>
          <w:rFonts w:hint="eastAsia" w:ascii="Times New Roman" w:hAnsi="Times New Roman" w:eastAsia="仿宋_GB2312" w:cs="Times New Roman"/>
        </w:rPr>
        <w:t>注:</w:t>
      </w:r>
      <w:r>
        <w:rPr>
          <w:rFonts w:hint="eastAsia" w:ascii="Times New Roman" w:hAnsi="Times New Roman" w:eastAsia="仿宋_GB2312" w:cs="Times New Roman"/>
          <w:lang w:val="en-US" w:eastAsia="zh-CN"/>
        </w:rPr>
        <w:t>我单位无政府采购预算，空表列示。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lang w:val="en-US" w:eastAsia="zh-CN"/>
        </w:rPr>
        <w:t>中共大厂回族自治县委县直机关工作委员会</w:t>
      </w:r>
      <w:r>
        <w:rPr>
          <w:rFonts w:ascii="仿宋" w:hAnsi="仿宋" w:eastAsia="仿宋" w:cs="Times New Roman"/>
          <w:sz w:val="32"/>
          <w:szCs w:val="32"/>
        </w:rPr>
        <w:t>（含所属单位）上年末固定资产金额为</w:t>
      </w:r>
      <w:r>
        <w:rPr>
          <w:rFonts w:hint="eastAsia" w:ascii="仿宋" w:hAnsi="仿宋" w:eastAsia="仿宋" w:cs="Times New Roman"/>
          <w:sz w:val="32"/>
          <w:szCs w:val="32"/>
          <w:lang w:val="en-US" w:eastAsia="zh-CN"/>
        </w:rPr>
        <w:t>23.08</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详见</w:t>
      </w:r>
      <w:r>
        <w:rPr>
          <w:rFonts w:hint="eastAsia" w:ascii="仿宋" w:hAnsi="仿宋" w:eastAsia="仿宋" w:cs="Times New Roman"/>
          <w:sz w:val="32"/>
          <w:szCs w:val="32"/>
        </w:rPr>
        <w:t>政府采购</w:t>
      </w:r>
      <w:r>
        <w:rPr>
          <w:rFonts w:ascii="仿宋" w:hAnsi="仿宋" w:eastAsia="仿宋"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中共大厂回族自治县委县直机关工作委员会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23.08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11.81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3467A"/>
    <w:multiLevelType w:val="singleLevel"/>
    <w:tmpl w:val="5D93467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50DD"/>
    <w:rsid w:val="000261B2"/>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7F4E5C"/>
    <w:rsid w:val="008552EF"/>
    <w:rsid w:val="008F2064"/>
    <w:rsid w:val="009832FD"/>
    <w:rsid w:val="00994BFD"/>
    <w:rsid w:val="00B80935"/>
    <w:rsid w:val="00D347CC"/>
    <w:rsid w:val="00E375C8"/>
    <w:rsid w:val="00E46D39"/>
    <w:rsid w:val="00E771B9"/>
    <w:rsid w:val="00ED3546"/>
    <w:rsid w:val="00EE07AC"/>
    <w:rsid w:val="01F07728"/>
    <w:rsid w:val="0311270C"/>
    <w:rsid w:val="04CF1F58"/>
    <w:rsid w:val="05733B45"/>
    <w:rsid w:val="057B7918"/>
    <w:rsid w:val="061C0E00"/>
    <w:rsid w:val="077C5650"/>
    <w:rsid w:val="086C43E9"/>
    <w:rsid w:val="0A287C82"/>
    <w:rsid w:val="0A551BA4"/>
    <w:rsid w:val="0AA06B93"/>
    <w:rsid w:val="0B034E1D"/>
    <w:rsid w:val="0B0E468C"/>
    <w:rsid w:val="0C9F5DE3"/>
    <w:rsid w:val="0D5A736F"/>
    <w:rsid w:val="0F2F771E"/>
    <w:rsid w:val="112774C7"/>
    <w:rsid w:val="11EB0D3E"/>
    <w:rsid w:val="1252005C"/>
    <w:rsid w:val="12B108F2"/>
    <w:rsid w:val="14433CC8"/>
    <w:rsid w:val="168D100B"/>
    <w:rsid w:val="17080305"/>
    <w:rsid w:val="175D270F"/>
    <w:rsid w:val="17BC7530"/>
    <w:rsid w:val="18E22FFC"/>
    <w:rsid w:val="19683AFD"/>
    <w:rsid w:val="1A8D4E96"/>
    <w:rsid w:val="1B5A473E"/>
    <w:rsid w:val="20F665D3"/>
    <w:rsid w:val="22127A52"/>
    <w:rsid w:val="22A05E54"/>
    <w:rsid w:val="23D17A6B"/>
    <w:rsid w:val="242E4876"/>
    <w:rsid w:val="249E19CC"/>
    <w:rsid w:val="26601213"/>
    <w:rsid w:val="27F02A68"/>
    <w:rsid w:val="28790CC8"/>
    <w:rsid w:val="29405F4F"/>
    <w:rsid w:val="29D25EBF"/>
    <w:rsid w:val="2A085E69"/>
    <w:rsid w:val="2B5F13A3"/>
    <w:rsid w:val="2BC3552B"/>
    <w:rsid w:val="2C8E6BFC"/>
    <w:rsid w:val="2CD400F2"/>
    <w:rsid w:val="2D1F3DCD"/>
    <w:rsid w:val="2D2F1299"/>
    <w:rsid w:val="2E5F2BA3"/>
    <w:rsid w:val="2EDB7C03"/>
    <w:rsid w:val="30931DAE"/>
    <w:rsid w:val="33484C07"/>
    <w:rsid w:val="340F22BB"/>
    <w:rsid w:val="34D521C6"/>
    <w:rsid w:val="366B30D1"/>
    <w:rsid w:val="386776A5"/>
    <w:rsid w:val="3AFB1369"/>
    <w:rsid w:val="3B463426"/>
    <w:rsid w:val="3F634DFD"/>
    <w:rsid w:val="3FA568EF"/>
    <w:rsid w:val="3FE477B4"/>
    <w:rsid w:val="406B6EC9"/>
    <w:rsid w:val="406D0834"/>
    <w:rsid w:val="43174811"/>
    <w:rsid w:val="43665E3A"/>
    <w:rsid w:val="43BD3C03"/>
    <w:rsid w:val="43F64C6D"/>
    <w:rsid w:val="459B58FA"/>
    <w:rsid w:val="45FC73FD"/>
    <w:rsid w:val="46A53A10"/>
    <w:rsid w:val="499A2829"/>
    <w:rsid w:val="49D60750"/>
    <w:rsid w:val="4C033074"/>
    <w:rsid w:val="4DD14753"/>
    <w:rsid w:val="4E65279F"/>
    <w:rsid w:val="4E9123A3"/>
    <w:rsid w:val="4EEF3693"/>
    <w:rsid w:val="516450D5"/>
    <w:rsid w:val="51880944"/>
    <w:rsid w:val="524D7BD1"/>
    <w:rsid w:val="52AA6882"/>
    <w:rsid w:val="544E3C2C"/>
    <w:rsid w:val="54B75C89"/>
    <w:rsid w:val="55041420"/>
    <w:rsid w:val="56B714A5"/>
    <w:rsid w:val="570845ED"/>
    <w:rsid w:val="58115B27"/>
    <w:rsid w:val="5A132151"/>
    <w:rsid w:val="5A7B608D"/>
    <w:rsid w:val="5CC23ED3"/>
    <w:rsid w:val="5D072670"/>
    <w:rsid w:val="5ECA6E1E"/>
    <w:rsid w:val="60AD5722"/>
    <w:rsid w:val="60C873EA"/>
    <w:rsid w:val="6281487D"/>
    <w:rsid w:val="64256378"/>
    <w:rsid w:val="66D26E7B"/>
    <w:rsid w:val="66E00009"/>
    <w:rsid w:val="68B13E6A"/>
    <w:rsid w:val="69A27FDE"/>
    <w:rsid w:val="6AAA1868"/>
    <w:rsid w:val="6B0110D6"/>
    <w:rsid w:val="6BB73373"/>
    <w:rsid w:val="6BB76994"/>
    <w:rsid w:val="6C0C410C"/>
    <w:rsid w:val="6E531226"/>
    <w:rsid w:val="70FB7479"/>
    <w:rsid w:val="735A6085"/>
    <w:rsid w:val="73D37433"/>
    <w:rsid w:val="755E79F6"/>
    <w:rsid w:val="75E52862"/>
    <w:rsid w:val="777C0E45"/>
    <w:rsid w:val="78530047"/>
    <w:rsid w:val="7B283CB8"/>
    <w:rsid w:val="7BA93F5E"/>
    <w:rsid w:val="7E8E3B71"/>
    <w:rsid w:val="7F124D2F"/>
    <w:rsid w:val="7FE92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504</Words>
  <Characters>2873</Characters>
  <Lines>23</Lines>
  <Paragraphs>6</Paragraphs>
  <TotalTime>24</TotalTime>
  <ScaleCrop>false</ScaleCrop>
  <LinksUpToDate>false</LinksUpToDate>
  <CharactersWithSpaces>3371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大眼睛的鱼</cp:lastModifiedBy>
  <cp:lastPrinted>2018-01-30T06:12:00Z</cp:lastPrinted>
  <dcterms:modified xsi:type="dcterms:W3CDTF">2024-01-23T02:45:50Z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